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color w:val="auto"/>
          <w:kern w:val="0"/>
          <w:sz w:val="32"/>
          <w:szCs w:val="32"/>
          <w:highlight w:val="none"/>
        </w:rPr>
      </w:pPr>
    </w:p>
    <w:p>
      <w:pPr>
        <w:jc w:val="center"/>
        <w:rPr>
          <w:rFonts w:hint="eastAsia" w:ascii="仿宋" w:hAnsi="仿宋" w:eastAsia="仿宋" w:cs="仿宋"/>
          <w:color w:val="auto"/>
          <w:kern w:val="0"/>
          <w:sz w:val="32"/>
          <w:szCs w:val="32"/>
          <w:highlight w:val="none"/>
        </w:rPr>
      </w:pPr>
    </w:p>
    <w:p>
      <w:pPr>
        <w:rPr>
          <w:rFonts w:hint="eastAsia" w:ascii="仿宋" w:hAnsi="仿宋" w:eastAsia="仿宋" w:cs="仿宋"/>
          <w:b/>
          <w:color w:val="auto"/>
          <w:sz w:val="84"/>
          <w:szCs w:val="84"/>
          <w:highlight w:val="none"/>
        </w:rPr>
      </w:pPr>
    </w:p>
    <w:p>
      <w:pPr>
        <w:jc w:val="center"/>
        <w:rPr>
          <w:rFonts w:hint="eastAsia" w:ascii="仿宋" w:hAnsi="仿宋" w:eastAsia="仿宋" w:cs="仿宋"/>
          <w:b/>
          <w:color w:val="auto"/>
          <w:sz w:val="84"/>
          <w:szCs w:val="84"/>
          <w:highlight w:val="none"/>
        </w:rPr>
      </w:pPr>
    </w:p>
    <w:p>
      <w:pPr>
        <w:autoSpaceDE w:val="0"/>
        <w:autoSpaceDN w:val="0"/>
        <w:adjustRightInd w:val="0"/>
        <w:snapToGrid w:val="0"/>
        <w:jc w:val="center"/>
        <w:rPr>
          <w:rFonts w:hint="eastAsia" w:ascii="仿宋" w:hAnsi="仿宋" w:eastAsia="仿宋" w:cs="仿宋"/>
          <w:color w:val="auto"/>
          <w:kern w:val="0"/>
          <w:sz w:val="72"/>
          <w:szCs w:val="72"/>
          <w:highlight w:val="none"/>
        </w:rPr>
      </w:pPr>
      <w:r>
        <w:rPr>
          <w:rFonts w:hint="eastAsia" w:ascii="仿宋" w:hAnsi="仿宋" w:eastAsia="仿宋" w:cs="仿宋"/>
          <w:color w:val="auto"/>
          <w:kern w:val="0"/>
          <w:sz w:val="72"/>
          <w:szCs w:val="72"/>
          <w:highlight w:val="none"/>
        </w:rPr>
        <w:t>招标文件</w:t>
      </w:r>
    </w:p>
    <w:p>
      <w:pPr>
        <w:ind w:right="1284" w:firstLine="3092" w:firstLineChars="700"/>
        <w:rPr>
          <w:rFonts w:hint="eastAsia" w:ascii="仿宋" w:hAnsi="仿宋" w:eastAsia="仿宋" w:cs="仿宋"/>
          <w:b/>
          <w:color w:val="auto"/>
          <w:sz w:val="44"/>
          <w:szCs w:val="44"/>
          <w:highlight w:val="none"/>
        </w:rPr>
      </w:pPr>
    </w:p>
    <w:p>
      <w:pPr>
        <w:pStyle w:val="12"/>
        <w:rPr>
          <w:rFonts w:hint="eastAsia" w:ascii="仿宋" w:hAnsi="仿宋" w:eastAsia="仿宋" w:cs="仿宋"/>
          <w:b/>
          <w:color w:val="auto"/>
          <w:sz w:val="44"/>
          <w:szCs w:val="44"/>
          <w:highlight w:val="none"/>
        </w:rPr>
      </w:pPr>
    </w:p>
    <w:p>
      <w:pPr>
        <w:rPr>
          <w:rFonts w:hint="eastAsia"/>
        </w:rPr>
      </w:pPr>
    </w:p>
    <w:p>
      <w:pPr>
        <w:ind w:right="1284" w:firstLine="3092" w:firstLineChars="700"/>
        <w:rPr>
          <w:rFonts w:hint="eastAsia" w:ascii="仿宋" w:hAnsi="仿宋" w:eastAsia="仿宋" w:cs="仿宋"/>
          <w:b/>
          <w:color w:val="auto"/>
          <w:sz w:val="44"/>
          <w:szCs w:val="44"/>
          <w:highlight w:val="none"/>
        </w:rPr>
      </w:pPr>
    </w:p>
    <w:p>
      <w:pPr>
        <w:ind w:right="1284" w:firstLine="3092" w:firstLineChars="700"/>
        <w:rPr>
          <w:rFonts w:hint="eastAsia" w:ascii="仿宋" w:hAnsi="仿宋" w:eastAsia="仿宋" w:cs="仿宋"/>
          <w:b/>
          <w:color w:val="auto"/>
          <w:sz w:val="44"/>
          <w:szCs w:val="44"/>
          <w:highlight w:val="none"/>
        </w:rPr>
      </w:pPr>
    </w:p>
    <w:p>
      <w:pPr>
        <w:ind w:right="1284" w:firstLine="1699" w:firstLineChars="529"/>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项目编号：</w:t>
      </w:r>
      <w:r>
        <w:rPr>
          <w:rFonts w:hint="eastAsia" w:ascii="仿宋" w:hAnsi="仿宋" w:eastAsia="仿宋" w:cs="仿宋"/>
          <w:b/>
          <w:color w:val="auto"/>
          <w:sz w:val="32"/>
          <w:szCs w:val="32"/>
          <w:highlight w:val="none"/>
          <w:lang w:val="en-US" w:eastAsia="zh-CN"/>
        </w:rPr>
        <w:t>AS29CG2022HW0043</w:t>
      </w:r>
    </w:p>
    <w:p>
      <w:pPr>
        <w:jc w:val="right"/>
        <w:rPr>
          <w:rFonts w:hint="eastAsia" w:ascii="仿宋" w:hAnsi="仿宋" w:eastAsia="仿宋" w:cs="仿宋"/>
          <w:b/>
          <w:color w:val="auto"/>
          <w:sz w:val="32"/>
          <w:szCs w:val="32"/>
          <w:highlight w:val="none"/>
        </w:rPr>
      </w:pPr>
    </w:p>
    <w:p>
      <w:pPr>
        <w:ind w:right="1284" w:firstLine="1699" w:firstLineChars="529"/>
        <w:rPr>
          <w:rFonts w:hint="eastAsia" w:ascii="仿宋" w:hAnsi="仿宋" w:eastAsia="仿宋" w:cs="仿宋"/>
          <w:b/>
          <w:color w:val="auto"/>
          <w:sz w:val="32"/>
          <w:szCs w:val="32"/>
          <w:highlight w:val="none"/>
          <w:lang w:eastAsia="zh-CN"/>
        </w:rPr>
      </w:pPr>
      <w:r>
        <w:rPr>
          <w:rFonts w:hint="eastAsia" w:ascii="仿宋" w:hAnsi="仿宋" w:eastAsia="仿宋" w:cs="仿宋"/>
          <w:b/>
          <w:color w:val="auto"/>
          <w:sz w:val="32"/>
          <w:szCs w:val="32"/>
          <w:highlight w:val="none"/>
        </w:rPr>
        <w:t>项目名称：</w:t>
      </w:r>
      <w:r>
        <w:rPr>
          <w:rFonts w:hint="eastAsia" w:ascii="仿宋" w:hAnsi="仿宋" w:eastAsia="仿宋" w:cs="仿宋"/>
          <w:b/>
          <w:color w:val="auto"/>
          <w:sz w:val="32"/>
          <w:szCs w:val="32"/>
          <w:highlight w:val="none"/>
          <w:lang w:eastAsia="zh-CN"/>
        </w:rPr>
        <w:t>防汛排涝应急设备采购项目（1包）（二次招标）</w:t>
      </w: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采购人：</w:t>
      </w:r>
      <w:r>
        <w:rPr>
          <w:rFonts w:hint="eastAsia" w:ascii="仿宋" w:hAnsi="仿宋" w:eastAsia="仿宋" w:cs="仿宋"/>
          <w:b/>
          <w:color w:val="auto"/>
          <w:kern w:val="2"/>
          <w:sz w:val="32"/>
          <w:szCs w:val="32"/>
          <w:highlight w:val="none"/>
          <w:lang w:val="en-US" w:eastAsia="zh-CN" w:bidi="ar-SA"/>
        </w:rPr>
        <w:t>芜湖城市建设集团有限公司</w:t>
      </w:r>
    </w:p>
    <w:p>
      <w:pPr>
        <w:jc w:val="center"/>
        <w:rPr>
          <w:rFonts w:hint="eastAsia" w:ascii="仿宋" w:hAnsi="仿宋" w:eastAsia="仿宋" w:cs="仿宋"/>
          <w:b/>
          <w:color w:val="auto"/>
          <w:sz w:val="36"/>
          <w:szCs w:val="36"/>
          <w:highlight w:val="none"/>
          <w:vertAlign w:val="subscript"/>
        </w:rPr>
      </w:pP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2"/>
          <w:szCs w:val="32"/>
          <w:highlight w:val="none"/>
        </w:rPr>
        <w:t>代理机构：</w:t>
      </w:r>
      <w:r>
        <w:rPr>
          <w:rFonts w:hint="eastAsia" w:ascii="仿宋" w:hAnsi="仿宋" w:eastAsia="仿宋" w:cs="仿宋"/>
          <w:b/>
          <w:color w:val="auto"/>
          <w:kern w:val="2"/>
          <w:sz w:val="32"/>
          <w:szCs w:val="32"/>
          <w:highlight w:val="none"/>
          <w:lang w:val="en-US" w:eastAsia="zh-CN" w:bidi="ar-SA"/>
        </w:rPr>
        <w:t>安徽苏柏亚工程项目管理有限公司</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color w:val="auto"/>
          <w:highlight w:val="none"/>
        </w:rPr>
      </w:pPr>
      <w:r>
        <w:rPr>
          <w:rFonts w:hint="eastAsia" w:ascii="仿宋" w:hAnsi="仿宋" w:eastAsia="仿宋" w:cs="仿宋"/>
          <w:b/>
          <w:color w:val="auto"/>
          <w:sz w:val="32"/>
          <w:szCs w:val="32"/>
          <w:highlight w:val="none"/>
          <w:lang w:val="en-US" w:eastAsia="zh-CN"/>
        </w:rPr>
        <w:t>2022</w:t>
      </w:r>
      <w:r>
        <w:rPr>
          <w:rFonts w:hint="eastAsia" w:ascii="仿宋" w:hAnsi="仿宋" w:eastAsia="仿宋" w:cs="仿宋"/>
          <w:b/>
          <w:color w:val="auto"/>
          <w:sz w:val="32"/>
          <w:szCs w:val="32"/>
          <w:highlight w:val="none"/>
        </w:rPr>
        <w:t>年</w:t>
      </w:r>
      <w:r>
        <w:rPr>
          <w:rFonts w:hint="eastAsia" w:ascii="仿宋" w:hAnsi="仿宋" w:eastAsia="仿宋" w:cs="仿宋"/>
          <w:b/>
          <w:color w:val="auto"/>
          <w:sz w:val="32"/>
          <w:szCs w:val="32"/>
          <w:highlight w:val="none"/>
          <w:lang w:val="en-US" w:eastAsia="zh-CN"/>
        </w:rPr>
        <w:t>07</w:t>
      </w:r>
      <w:r>
        <w:rPr>
          <w:rFonts w:hint="eastAsia" w:ascii="仿宋" w:hAnsi="仿宋" w:eastAsia="仿宋" w:cs="仿宋"/>
          <w:b/>
          <w:color w:val="auto"/>
          <w:sz w:val="32"/>
          <w:szCs w:val="32"/>
          <w:highlight w:val="none"/>
        </w:rPr>
        <w:t>月</w:t>
      </w:r>
      <w:r>
        <w:rPr>
          <w:rFonts w:hint="eastAsia" w:ascii="仿宋" w:hAnsi="仿宋" w:eastAsia="仿宋" w:cs="仿宋"/>
          <w:b/>
          <w:color w:val="auto"/>
          <w:sz w:val="32"/>
          <w:szCs w:val="32"/>
          <w:highlight w:val="none"/>
          <w:lang w:val="en-US" w:eastAsia="zh-CN"/>
        </w:rPr>
        <w:t>16</w:t>
      </w:r>
      <w:r>
        <w:rPr>
          <w:rFonts w:hint="eastAsia" w:ascii="仿宋" w:hAnsi="仿宋" w:eastAsia="仿宋" w:cs="仿宋"/>
          <w:b/>
          <w:color w:val="auto"/>
          <w:sz w:val="32"/>
          <w:szCs w:val="32"/>
          <w:highlight w:val="none"/>
        </w:rPr>
        <w:t>日</w:t>
      </w:r>
    </w:p>
    <w:p>
      <w:pPr>
        <w:rPr>
          <w:rFonts w:hint="eastAsia" w:ascii="仿宋" w:hAnsi="仿宋" w:eastAsia="仿宋" w:cs="仿宋"/>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招标文件目录</w:t>
      </w:r>
    </w:p>
    <w:tbl>
      <w:tblPr>
        <w:tblStyle w:val="17"/>
        <w:tblW w:w="9243" w:type="dxa"/>
        <w:jc w:val="center"/>
        <w:tblLayout w:type="fixed"/>
        <w:tblCellMar>
          <w:top w:w="0" w:type="dxa"/>
          <w:left w:w="108" w:type="dxa"/>
          <w:bottom w:w="0" w:type="dxa"/>
          <w:right w:w="108" w:type="dxa"/>
        </w:tblCellMar>
      </w:tblPr>
      <w:tblGrid>
        <w:gridCol w:w="1418"/>
        <w:gridCol w:w="7825"/>
      </w:tblGrid>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第一章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kern w:val="2"/>
                <w:sz w:val="28"/>
                <w:szCs w:val="28"/>
                <w:highlight w:val="none"/>
                <w:lang w:val="en-US" w:eastAsia="zh-CN" w:bidi="ar-SA"/>
              </w:rPr>
              <w:t>招</w:t>
            </w:r>
            <w:r>
              <w:rPr>
                <w:rFonts w:hint="eastAsia" w:ascii="仿宋" w:hAnsi="仿宋" w:eastAsia="仿宋" w:cs="仿宋"/>
                <w:b/>
                <w:color w:val="auto"/>
                <w:sz w:val="28"/>
                <w:szCs w:val="28"/>
                <w:highlight w:val="none"/>
              </w:rPr>
              <w:t>标公告</w:t>
            </w:r>
          </w:p>
        </w:tc>
      </w:tr>
      <w:tr>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第二章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供应商须知前附表 </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第三章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第四章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第五章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评标办法及评分规则</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w:t>
            </w:r>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投标文件格式</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第一章  招标公告</w:t>
      </w:r>
    </w:p>
    <w:p>
      <w:pPr>
        <w:spacing w:line="360" w:lineRule="auto"/>
        <w:jc w:val="cente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防汛排涝应急设备采购项目（1包）（二次招标）</w:t>
      </w:r>
      <w:bookmarkStart w:id="14" w:name="_GoBack"/>
      <w:bookmarkEnd w:id="14"/>
      <w:r>
        <w:rPr>
          <w:rFonts w:hint="eastAsia" w:ascii="仿宋" w:hAnsi="仿宋" w:eastAsia="仿宋" w:cs="仿宋"/>
          <w:b/>
          <w:color w:val="auto"/>
          <w:sz w:val="30"/>
          <w:szCs w:val="30"/>
          <w:highlight w:val="none"/>
        </w:rPr>
        <w:t>招标公告</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项目概况</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防汛排涝应急设备采购项目（1包）（二次招标）招标</w:t>
      </w:r>
      <w:r>
        <w:rPr>
          <w:rFonts w:hint="eastAsia" w:ascii="仿宋" w:hAnsi="仿宋" w:eastAsia="仿宋" w:cs="仿宋"/>
          <w:color w:val="auto"/>
          <w:szCs w:val="24"/>
          <w:highlight w:val="none"/>
        </w:rPr>
        <w:t>项目的潜在</w:t>
      </w:r>
      <w:r>
        <w:rPr>
          <w:rFonts w:hint="eastAsia" w:ascii="仿宋" w:hAnsi="仿宋" w:eastAsia="仿宋" w:cs="仿宋"/>
          <w:color w:val="auto"/>
          <w:szCs w:val="24"/>
          <w:highlight w:val="none"/>
          <w:lang w:val="en-US" w:eastAsia="zh-CN"/>
        </w:rPr>
        <w:t>投标人</w:t>
      </w:r>
      <w:r>
        <w:rPr>
          <w:rFonts w:hint="eastAsia" w:ascii="仿宋" w:hAnsi="仿宋" w:eastAsia="仿宋" w:cs="仿宋"/>
          <w:color w:val="auto"/>
          <w:szCs w:val="24"/>
          <w:highlight w:val="none"/>
        </w:rPr>
        <w:t>应在</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网站获取招标文件。</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一、项目基本情况</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1.项目编号：</w:t>
      </w:r>
      <w:r>
        <w:rPr>
          <w:rFonts w:hint="eastAsia" w:ascii="仿宋" w:hAnsi="仿宋" w:eastAsia="仿宋" w:cs="仿宋"/>
          <w:color w:val="auto"/>
          <w:szCs w:val="24"/>
          <w:highlight w:val="none"/>
          <w:lang w:val="en-US" w:eastAsia="zh-CN"/>
        </w:rPr>
        <w:t>AS29CG2022HW0043</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2.项目名称：</w:t>
      </w:r>
      <w:r>
        <w:rPr>
          <w:rFonts w:hint="eastAsia" w:ascii="仿宋" w:hAnsi="仿宋" w:eastAsia="仿宋" w:cs="仿宋"/>
          <w:color w:val="auto"/>
          <w:szCs w:val="24"/>
          <w:highlight w:val="none"/>
          <w:lang w:val="en-US" w:eastAsia="zh-CN"/>
        </w:rPr>
        <w:t>防汛排涝应急设备采购项目（1包）（二次招标）</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最高限价：</w:t>
      </w:r>
      <w:r>
        <w:rPr>
          <w:rFonts w:hint="eastAsia" w:ascii="仿宋" w:hAnsi="仿宋" w:eastAsia="仿宋" w:cs="仿宋"/>
          <w:color w:val="auto"/>
          <w:szCs w:val="24"/>
          <w:highlight w:val="none"/>
          <w:lang w:val="en-US" w:eastAsia="zh-CN"/>
        </w:rPr>
        <w:t>330万元</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.采购需求：</w:t>
      </w:r>
      <w:r>
        <w:rPr>
          <w:rFonts w:hint="eastAsia" w:ascii="仿宋" w:hAnsi="仿宋" w:eastAsia="仿宋" w:cs="仿宋"/>
          <w:color w:val="auto"/>
          <w:szCs w:val="24"/>
          <w:highlight w:val="none"/>
          <w:lang w:val="en-US" w:eastAsia="zh-CN"/>
        </w:rPr>
        <w:t>采购移动式排水泵站暂定8辆（根据实际需求情况调整采购数量）</w:t>
      </w:r>
      <w:r>
        <w:rPr>
          <w:rFonts w:hint="eastAsia" w:ascii="仿宋" w:hAnsi="仿宋" w:eastAsia="仿宋" w:cs="仿宋"/>
          <w:color w:val="auto"/>
          <w:szCs w:val="24"/>
          <w:highlight w:val="none"/>
        </w:rPr>
        <w:t>（包括但不限于标的的名称、数量、简要技术需求或服务要求等）具体详见附件。</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.合同履行期限：</w:t>
      </w:r>
      <w:r>
        <w:rPr>
          <w:rFonts w:hint="eastAsia" w:ascii="仿宋" w:hAnsi="仿宋" w:eastAsia="仿宋" w:cs="仿宋"/>
          <w:color w:val="auto"/>
          <w:szCs w:val="24"/>
          <w:highlight w:val="none"/>
          <w:lang w:val="en-US" w:eastAsia="zh-CN"/>
        </w:rPr>
        <w:t>5个日历天</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.本项目</w:t>
      </w:r>
      <w:r>
        <w:rPr>
          <w:rFonts w:hint="eastAsia" w:ascii="仿宋" w:hAnsi="仿宋" w:eastAsia="仿宋" w:cs="仿宋"/>
          <w:color w:val="auto"/>
          <w:szCs w:val="24"/>
          <w:highlight w:val="none"/>
          <w:lang w:val="en-US" w:eastAsia="zh-CN"/>
        </w:rPr>
        <w:t>不</w:t>
      </w:r>
      <w:r>
        <w:rPr>
          <w:rFonts w:hint="eastAsia" w:ascii="仿宋" w:hAnsi="仿宋" w:eastAsia="仿宋" w:cs="仿宋"/>
          <w:color w:val="auto"/>
          <w:szCs w:val="24"/>
          <w:highlight w:val="none"/>
        </w:rPr>
        <w:t>接受联合体投标。</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二、申请人的资格要求</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1.满足《中华人民共和国政府采购法》第二十二条规定。</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2.需满足的资格要求：</w:t>
      </w:r>
      <w:r>
        <w:rPr>
          <w:rFonts w:hint="eastAsia" w:ascii="仿宋" w:hAnsi="仿宋" w:eastAsia="仿宋" w:cs="仿宋"/>
          <w:color w:val="auto"/>
          <w:szCs w:val="24"/>
          <w:highlight w:val="none"/>
          <w:lang w:val="en-US" w:eastAsia="zh-CN"/>
        </w:rPr>
        <w:t>独立法人资格</w:t>
      </w: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3.本项目的特定资格要求：</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3.1供应商须符合下列情形之一（不良行为记录以《芜湖市公共资源交易投标人（供应商）不良行为信息记录披露管理办法》（公管【2021】7号）为准）：</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.1</w:t>
      </w:r>
      <w:r>
        <w:rPr>
          <w:rFonts w:hint="eastAsia" w:ascii="仿宋" w:hAnsi="仿宋" w:eastAsia="仿宋" w:cs="仿宋"/>
          <w:color w:val="auto"/>
          <w:szCs w:val="24"/>
          <w:highlight w:val="none"/>
        </w:rPr>
        <w:t>未被市、县市区公共资源交易监管部门或其他行政管理部门记不良行为记录；</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曾被市、县市区公共资源交易监管部门或其他行政管理部门记不良行为记录，投标截止日不在披露期内。</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3.2如项目接受联合体投标，对联合体应提出相关资格要求；如属特定行业项目，供应商应当具备特定行业法定准入要求。</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三、获取招标文件</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yellow"/>
        </w:rPr>
        <w:t>时间：</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16</w:t>
      </w:r>
      <w:r>
        <w:rPr>
          <w:rFonts w:hint="eastAsia" w:ascii="仿宋" w:hAnsi="仿宋" w:eastAsia="仿宋" w:cs="仿宋"/>
          <w:color w:val="auto"/>
          <w:szCs w:val="24"/>
          <w:highlight w:val="yellow"/>
        </w:rPr>
        <w:t>日至</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19</w:t>
      </w:r>
      <w:r>
        <w:rPr>
          <w:rFonts w:hint="eastAsia" w:ascii="仿宋" w:hAnsi="仿宋" w:eastAsia="仿宋" w:cs="仿宋"/>
          <w:color w:val="auto"/>
          <w:szCs w:val="24"/>
          <w:highlight w:val="yellow"/>
        </w:rPr>
        <w:t>日，每天上午</w:t>
      </w:r>
      <w:r>
        <w:rPr>
          <w:rFonts w:hint="eastAsia" w:ascii="仿宋" w:hAnsi="仿宋" w:eastAsia="仿宋" w:cs="仿宋"/>
          <w:color w:val="auto"/>
          <w:szCs w:val="24"/>
          <w:highlight w:val="yellow"/>
          <w:lang w:val="en-US" w:eastAsia="zh-CN"/>
        </w:rPr>
        <w:t>09:00</w:t>
      </w:r>
      <w:r>
        <w:rPr>
          <w:rFonts w:hint="eastAsia" w:ascii="仿宋" w:hAnsi="仿宋" w:eastAsia="仿宋" w:cs="仿宋"/>
          <w:color w:val="auto"/>
          <w:szCs w:val="24"/>
          <w:highlight w:val="yellow"/>
        </w:rPr>
        <w:t xml:space="preserve"> 至</w:t>
      </w:r>
      <w:r>
        <w:rPr>
          <w:rFonts w:hint="eastAsia" w:ascii="仿宋" w:hAnsi="仿宋" w:eastAsia="仿宋" w:cs="仿宋"/>
          <w:color w:val="auto"/>
          <w:szCs w:val="24"/>
          <w:highlight w:val="yellow"/>
          <w:lang w:val="en-US" w:eastAsia="zh-CN"/>
        </w:rPr>
        <w:t>12:00</w:t>
      </w:r>
      <w:r>
        <w:rPr>
          <w:rFonts w:hint="eastAsia" w:ascii="仿宋" w:hAnsi="仿宋" w:eastAsia="仿宋" w:cs="仿宋"/>
          <w:color w:val="auto"/>
          <w:szCs w:val="24"/>
          <w:highlight w:val="yellow"/>
        </w:rPr>
        <w:t>,下午</w:t>
      </w:r>
      <w:r>
        <w:rPr>
          <w:rFonts w:hint="eastAsia" w:ascii="仿宋" w:hAnsi="仿宋" w:eastAsia="仿宋" w:cs="仿宋"/>
          <w:color w:val="auto"/>
          <w:szCs w:val="24"/>
          <w:highlight w:val="yellow"/>
          <w:lang w:val="en-US" w:eastAsia="zh-CN"/>
        </w:rPr>
        <w:t>12:00</w:t>
      </w:r>
      <w:r>
        <w:rPr>
          <w:rFonts w:hint="eastAsia" w:ascii="仿宋" w:hAnsi="仿宋" w:eastAsia="仿宋" w:cs="仿宋"/>
          <w:color w:val="auto"/>
          <w:szCs w:val="24"/>
          <w:highlight w:val="yellow"/>
        </w:rPr>
        <w:t xml:space="preserve"> 至</w:t>
      </w:r>
      <w:r>
        <w:rPr>
          <w:rFonts w:hint="eastAsia" w:ascii="仿宋" w:hAnsi="仿宋" w:eastAsia="仿宋" w:cs="仿宋"/>
          <w:color w:val="auto"/>
          <w:szCs w:val="24"/>
          <w:highlight w:val="yellow"/>
          <w:lang w:val="en-US" w:eastAsia="zh-CN"/>
        </w:rPr>
        <w:t>17:00</w:t>
      </w:r>
      <w:r>
        <w:rPr>
          <w:rFonts w:hint="eastAsia" w:ascii="仿宋" w:hAnsi="仿宋" w:eastAsia="仿宋" w:cs="仿宋"/>
          <w:color w:val="auto"/>
          <w:szCs w:val="24"/>
          <w:highlight w:val="none"/>
        </w:rPr>
        <w:t>（北京时间，法定节假日除外）</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方式：凡有意参加投标者，</w:t>
      </w:r>
      <w:r>
        <w:rPr>
          <w:rFonts w:hint="eastAsia" w:ascii="仿宋" w:hAnsi="仿宋" w:eastAsia="仿宋" w:cs="仿宋"/>
          <w:color w:val="auto"/>
          <w:szCs w:val="24"/>
          <w:highlight w:val="none"/>
          <w:lang w:val="en-US" w:eastAsia="zh-CN"/>
        </w:rPr>
        <w:t>需投标报名</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请于获取时间内登录</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w:t>
      </w:r>
      <w:r>
        <w:rPr>
          <w:rFonts w:hint="eastAsia" w:ascii="仿宋" w:hAnsi="仿宋" w:eastAsia="仿宋" w:cs="仿宋"/>
          <w:color w:val="auto"/>
          <w:szCs w:val="24"/>
          <w:highlight w:val="none"/>
          <w:lang w:val="en-US" w:eastAsia="zh-CN"/>
        </w:rPr>
        <w:t>站根据报名要求进行报名，报名后联系代理机构人员发送招标文件</w:t>
      </w:r>
      <w:r>
        <w:rPr>
          <w:rFonts w:hint="eastAsia" w:ascii="仿宋" w:hAnsi="仿宋" w:eastAsia="仿宋" w:cs="仿宋"/>
          <w:color w:val="auto"/>
          <w:szCs w:val="24"/>
          <w:highlight w:val="none"/>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4.售价：获取招标文件不收取任何费用</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四、提交投标文件截止时间、开标时间和地点</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1.时间：</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19</w:t>
      </w:r>
      <w:r>
        <w:rPr>
          <w:rFonts w:hint="eastAsia" w:ascii="仿宋" w:hAnsi="仿宋" w:eastAsia="仿宋" w:cs="仿宋"/>
          <w:color w:val="auto"/>
          <w:szCs w:val="24"/>
          <w:highlight w:val="yellow"/>
        </w:rPr>
        <w:t>日</w:t>
      </w:r>
      <w:r>
        <w:rPr>
          <w:rFonts w:hint="eastAsia" w:ascii="仿宋" w:hAnsi="仿宋" w:eastAsia="仿宋" w:cs="仿宋"/>
          <w:color w:val="auto"/>
          <w:szCs w:val="24"/>
          <w:highlight w:val="yellow"/>
          <w:lang w:val="en-US" w:eastAsia="zh-CN"/>
        </w:rPr>
        <w:t>15</w:t>
      </w:r>
      <w:r>
        <w:rPr>
          <w:rFonts w:hint="eastAsia" w:ascii="仿宋" w:hAnsi="仿宋" w:eastAsia="仿宋" w:cs="仿宋"/>
          <w:color w:val="auto"/>
          <w:szCs w:val="24"/>
          <w:highlight w:val="yellow"/>
        </w:rPr>
        <w:t>点</w:t>
      </w:r>
      <w:r>
        <w:rPr>
          <w:rFonts w:hint="eastAsia" w:ascii="仿宋" w:hAnsi="仿宋" w:eastAsia="仿宋" w:cs="仿宋"/>
          <w:color w:val="auto"/>
          <w:szCs w:val="24"/>
          <w:highlight w:val="yellow"/>
          <w:lang w:val="en-US" w:eastAsia="zh-CN"/>
        </w:rPr>
        <w:t>00</w:t>
      </w:r>
      <w:r>
        <w:rPr>
          <w:rFonts w:hint="eastAsia" w:ascii="仿宋" w:hAnsi="仿宋" w:eastAsia="仿宋" w:cs="仿宋"/>
          <w:color w:val="auto"/>
          <w:szCs w:val="24"/>
          <w:highlight w:val="yellow"/>
        </w:rPr>
        <w:t>分（北京时间）</w:t>
      </w:r>
    </w:p>
    <w:p>
      <w:pPr>
        <w:pStyle w:val="16"/>
        <w:shd w:val="clear" w:color="auto" w:fill="FFFFFF"/>
        <w:spacing w:before="0" w:beforeAutospacing="0" w:after="0" w:afterAutospacing="0" w:line="360" w:lineRule="auto"/>
        <w:ind w:firstLine="426" w:firstLineChars="177"/>
        <w:jc w:val="both"/>
        <w:rPr>
          <w:rFonts w:hint="eastAsia" w:ascii="仿宋" w:hAnsi="仿宋" w:eastAsia="仿宋" w:cs="仿宋"/>
          <w:b/>
          <w:bCs/>
          <w:color w:val="FF0000"/>
          <w:szCs w:val="24"/>
          <w:highlight w:val="yellow"/>
        </w:rPr>
      </w:pPr>
      <w:r>
        <w:rPr>
          <w:rFonts w:hint="eastAsia" w:ascii="仿宋" w:hAnsi="仿宋" w:eastAsia="仿宋" w:cs="仿宋"/>
          <w:b/>
          <w:bCs/>
          <w:color w:val="FF0000"/>
          <w:szCs w:val="24"/>
          <w:highlight w:val="yellow"/>
        </w:rPr>
        <w:t>2.地点：</w:t>
      </w:r>
      <w:r>
        <w:rPr>
          <w:rFonts w:hint="eastAsia" w:ascii="仿宋" w:hAnsi="仿宋" w:eastAsia="仿宋" w:cs="仿宋"/>
          <w:b/>
          <w:bCs/>
          <w:color w:val="FF0000"/>
          <w:szCs w:val="24"/>
          <w:highlight w:val="yellow"/>
          <w:lang w:val="en-US" w:eastAsia="zh-CN"/>
        </w:rPr>
        <w:t>芜湖市皖江财富广场A2座612苏柏亚开标室。</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五、公告期限</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自本公告发布之日起</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个工作日。</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六、其他补充事宜</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1.资金来源：□省级财政资金 □市本级财政资金 □县区级财政资金 </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 xml:space="preserve">自筹资金 </w:t>
      </w:r>
      <w:r>
        <w:rPr>
          <w:rFonts w:hint="eastAsia" w:ascii="仿宋" w:hAnsi="仿宋" w:eastAsia="仿宋" w:cs="仿宋"/>
          <w:color w:val="auto"/>
          <w:szCs w:val="24"/>
          <w:highlight w:val="none"/>
        </w:rPr>
        <w:sym w:font="Wingdings 2" w:char="00A3"/>
      </w:r>
      <w:r>
        <w:rPr>
          <w:rFonts w:hint="eastAsia" w:ascii="仿宋" w:hAnsi="仿宋" w:eastAsia="仿宋" w:cs="仿宋"/>
          <w:color w:val="auto"/>
          <w:szCs w:val="24"/>
          <w:highlight w:val="none"/>
        </w:rPr>
        <w:t>其他（请说明资金来源及比例）：</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2.本项目免收投标保证金。</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代理服务费：</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.1支付方：□采购人；</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中标供应商。</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val="en-US" w:eastAsia="zh-CN"/>
        </w:rPr>
        <w:t>本项目代理服务费金额：</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不足3000元的按照3000收取。</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七、对本次招标提出询问，请按以下方式联系</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1.采购人信息</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芜湖城市建设集团有限公司</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芜湖市镜湖区观澜路1号滨江商务楼28层</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18019520031</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2.代理机构信息（如有）</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芜湖市皖江财富广场A4座8楼</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 xml:space="preserve">17756548535 　 </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采购人：</w:t>
      </w:r>
      <w:r>
        <w:rPr>
          <w:rFonts w:hint="eastAsia" w:ascii="仿宋" w:hAnsi="仿宋" w:eastAsia="仿宋" w:cs="仿宋"/>
          <w:color w:val="auto"/>
          <w:szCs w:val="24"/>
          <w:highlight w:val="none"/>
          <w:lang w:val="en-US" w:eastAsia="zh-CN"/>
        </w:rPr>
        <w:t>芜湖城市建设集团有限公司</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代理机构：</w:t>
      </w:r>
      <w:r>
        <w:rPr>
          <w:rFonts w:hint="eastAsia" w:ascii="仿宋" w:hAnsi="仿宋" w:eastAsia="仿宋" w:cs="仿宋"/>
          <w:color w:val="auto"/>
          <w:szCs w:val="24"/>
          <w:highlight w:val="none"/>
          <w:lang w:val="en-US" w:eastAsia="zh-CN"/>
        </w:rPr>
        <w:t>安徽苏柏亚工程项目管理有限公司</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16</w:t>
      </w:r>
      <w:r>
        <w:rPr>
          <w:rFonts w:hint="eastAsia" w:ascii="仿宋" w:hAnsi="仿宋" w:eastAsia="仿宋" w:cs="仿宋"/>
          <w:color w:val="auto"/>
          <w:szCs w:val="24"/>
          <w:highlight w:val="none"/>
        </w:rPr>
        <w:t>日</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第二章  供应商须知前附表</w:t>
      </w:r>
    </w:p>
    <w:tbl>
      <w:tblPr>
        <w:tblStyle w:val="17"/>
        <w:tblW w:w="95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945"/>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条款名称</w:t>
            </w:r>
          </w:p>
        </w:tc>
        <w:tc>
          <w:tcPr>
            <w:tcW w:w="6888"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7" w:type="dxa"/>
            <w:vMerge w:val="restart"/>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项目性质</w:t>
            </w:r>
          </w:p>
        </w:tc>
        <w:tc>
          <w:tcPr>
            <w:tcW w:w="6888" w:type="dxa"/>
            <w:noWrap w:val="0"/>
            <w:vAlign w:val="center"/>
          </w:tcPr>
          <w:p>
            <w:pPr>
              <w:spacing w:line="360" w:lineRule="exact"/>
              <w:jc w:val="left"/>
              <w:rPr>
                <w:rFonts w:hint="eastAsia" w:ascii="仿宋" w:hAnsi="仿宋" w:eastAsia="仿宋" w:cs="仿宋"/>
                <w:color w:val="auto"/>
                <w:highlight w:val="none"/>
              </w:rPr>
            </w:pPr>
            <w:r>
              <w:rPr>
                <w:rFonts w:hint="eastAsia" w:ascii="仿宋" w:hAnsi="仿宋" w:eastAsia="仿宋" w:cs="仿宋"/>
                <w:color w:val="auto"/>
                <w:sz w:val="24"/>
                <w:szCs w:val="24"/>
                <w:highlight w:val="none"/>
              </w:rPr>
              <w:t>货物采购</w:t>
            </w:r>
            <w:r>
              <w:rPr>
                <w:rFonts w:hint="eastAsia" w:ascii="仿宋" w:hAnsi="仿宋" w:eastAsia="仿宋" w:cs="仿宋"/>
                <w:color w:val="auto"/>
                <w:sz w:val="24"/>
                <w:szCs w:val="24"/>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7" w:type="dxa"/>
            <w:vMerge w:val="continue"/>
            <w:noWrap w:val="0"/>
            <w:vAlign w:val="center"/>
          </w:tcPr>
          <w:p>
            <w:pPr>
              <w:spacing w:line="360" w:lineRule="exact"/>
              <w:jc w:val="center"/>
              <w:rPr>
                <w:rFonts w:hint="eastAsia" w:ascii="仿宋" w:hAnsi="仿宋" w:eastAsia="仿宋" w:cs="仿宋"/>
                <w:color w:val="auto"/>
                <w:sz w:val="24"/>
                <w:szCs w:val="24"/>
                <w:highlight w:val="none"/>
              </w:rPr>
            </w:pP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公告媒体</w:t>
            </w:r>
          </w:p>
        </w:tc>
        <w:tc>
          <w:tcPr>
            <w:tcW w:w="6888" w:type="dxa"/>
            <w:noWrap w:val="0"/>
            <w:vAlign w:val="center"/>
          </w:tcPr>
          <w:p>
            <w:pPr>
              <w:spacing w:line="36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安徽苏柏亚工程项目管理有限公司官网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项目分包</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bCs/>
                <w:color w:val="auto"/>
                <w:sz w:val="24"/>
                <w:highlight w:val="none"/>
              </w:rPr>
              <w:sym w:font="Wingdings" w:char="00FE"/>
            </w:r>
            <w:r>
              <w:rPr>
                <w:rFonts w:hint="eastAsia" w:ascii="仿宋" w:hAnsi="仿宋" w:eastAsia="仿宋" w:cs="仿宋"/>
                <w:color w:val="auto"/>
                <w:sz w:val="24"/>
                <w:highlight w:val="none"/>
              </w:rPr>
              <w:t>不分包     □分为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个包：</w:t>
            </w:r>
            <w:r>
              <w:rPr>
                <w:rFonts w:hint="eastAsia" w:ascii="仿宋" w:hAnsi="仿宋" w:eastAsia="仿宋" w:cs="仿宋"/>
                <w:color w:val="auto"/>
                <w:sz w:val="24"/>
                <w:highlight w:val="none"/>
                <w:u w:val="single"/>
              </w:rPr>
              <w:t>（描述分包情况）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踏勘现场</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不组织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3.联系方式：</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质疑及答复</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en-US" w:eastAsia="zh-CN"/>
              </w:rPr>
              <w:t>在</w:t>
            </w:r>
            <w:r>
              <w:rPr>
                <w:rFonts w:hint="eastAsia" w:ascii="仿宋" w:hAnsi="仿宋" w:eastAsia="仿宋" w:cs="仿宋"/>
                <w:color w:val="auto"/>
                <w:sz w:val="24"/>
                <w:szCs w:val="24"/>
                <w:highlight w:val="none"/>
              </w:rPr>
              <w:t>规定的时间</w:t>
            </w:r>
            <w:r>
              <w:rPr>
                <w:rFonts w:hint="eastAsia" w:ascii="仿宋" w:hAnsi="仿宋" w:eastAsia="仿宋" w:cs="仿宋"/>
                <w:color w:val="auto"/>
                <w:sz w:val="24"/>
                <w:szCs w:val="24"/>
                <w:highlight w:val="none"/>
                <w:lang w:val="en-US" w:eastAsia="zh-CN"/>
              </w:rPr>
              <w:t>内</w:t>
            </w:r>
            <w:r>
              <w:rPr>
                <w:rFonts w:hint="eastAsia" w:ascii="仿宋" w:hAnsi="仿宋" w:eastAsia="仿宋" w:cs="仿宋"/>
                <w:color w:val="auto"/>
                <w:sz w:val="24"/>
                <w:szCs w:val="24"/>
                <w:highlight w:val="none"/>
              </w:rPr>
              <w:t>提出疑问，</w:t>
            </w:r>
            <w:r>
              <w:rPr>
                <w:rFonts w:hint="eastAsia" w:ascii="仿宋" w:hAnsi="仿宋" w:eastAsia="仿宋" w:cs="仿宋"/>
                <w:color w:val="auto"/>
                <w:sz w:val="24"/>
                <w:szCs w:val="24"/>
                <w:highlight w:val="none"/>
                <w:lang w:eastAsia="zh-CN"/>
              </w:rPr>
              <w:t>可以递交到</w:t>
            </w:r>
            <w:r>
              <w:rPr>
                <w:rFonts w:hint="eastAsia" w:ascii="仿宋" w:hAnsi="仿宋" w:eastAsia="仿宋" w:cs="仿宋"/>
                <w:color w:val="auto"/>
                <w:sz w:val="24"/>
                <w:szCs w:val="24"/>
                <w:highlight w:val="none"/>
              </w:rPr>
              <w:t>采购人或代理机构</w:t>
            </w:r>
            <w:r>
              <w:rPr>
                <w:rFonts w:hint="eastAsia" w:ascii="仿宋" w:hAnsi="仿宋" w:eastAsia="仿宋" w:cs="仿宋"/>
                <w:color w:val="auto"/>
                <w:sz w:val="24"/>
                <w:szCs w:val="24"/>
                <w:highlight w:val="none"/>
                <w:lang w:val="en-US" w:eastAsia="zh-CN"/>
              </w:rPr>
              <w:t>处，</w:t>
            </w:r>
            <w:r>
              <w:rPr>
                <w:rFonts w:hint="eastAsia" w:ascii="仿宋" w:hAnsi="仿宋" w:eastAsia="仿宋" w:cs="仿宋"/>
                <w:color w:val="auto"/>
                <w:sz w:val="24"/>
                <w:szCs w:val="24"/>
                <w:highlight w:val="none"/>
              </w:rPr>
              <w:t>采购人或代理机构按有关规定给予答复。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投标有效期</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开</w:t>
            </w:r>
            <w:r>
              <w:rPr>
                <w:rFonts w:hint="eastAsia" w:ascii="仿宋" w:hAnsi="仿宋" w:eastAsia="仿宋" w:cs="仿宋"/>
                <w:color w:val="auto"/>
                <w:sz w:val="24"/>
                <w:szCs w:val="24"/>
                <w:highlight w:val="none"/>
              </w:rPr>
              <w:t>标后56</w:t>
            </w:r>
            <w:r>
              <w:rPr>
                <w:rFonts w:hint="eastAsia" w:ascii="仿宋" w:hAnsi="仿宋" w:eastAsia="仿宋" w:cs="仿宋"/>
                <w:color w:val="auto"/>
                <w:sz w:val="24"/>
                <w:szCs w:val="24"/>
                <w:highlight w:val="none"/>
                <w:lang w:val="en-US" w:eastAsia="zh-CN"/>
              </w:rPr>
              <w:t>个</w:t>
            </w:r>
            <w:r>
              <w:rPr>
                <w:rFonts w:hint="eastAsia" w:ascii="仿宋" w:hAnsi="仿宋" w:eastAsia="仿宋" w:cs="仿宋"/>
                <w:color w:val="auto"/>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投标截止时间、地点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投标文件提交</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纸质投标文件：正本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电子投标文件（电子招标相关要求附后）：</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使用电子招投标的，电子投标文件的提交是指供应商</w:t>
            </w:r>
            <w:r>
              <w:rPr>
                <w:rFonts w:hint="eastAsia" w:ascii="仿宋" w:hAnsi="仿宋" w:eastAsia="仿宋" w:cs="仿宋"/>
                <w:color w:val="auto"/>
                <w:sz w:val="24"/>
                <w:szCs w:val="24"/>
                <w:highlight w:val="none"/>
                <w:lang w:val="en-US" w:eastAsia="zh-CN"/>
              </w:rPr>
              <w:t>在投标截止时间通过邮箱</w:t>
            </w:r>
            <w:r>
              <w:rPr>
                <w:rFonts w:hint="eastAsia" w:ascii="仿宋" w:hAnsi="仿宋" w:eastAsia="仿宋" w:cs="仿宋"/>
                <w:color w:val="auto"/>
                <w:sz w:val="24"/>
                <w:szCs w:val="24"/>
                <w:highlight w:val="none"/>
              </w:rPr>
              <w:t>完成投标文件的</w:t>
            </w:r>
            <w:r>
              <w:rPr>
                <w:rFonts w:hint="eastAsia" w:ascii="仿宋" w:hAnsi="仿宋" w:eastAsia="仿宋" w:cs="仿宋"/>
                <w:color w:val="auto"/>
                <w:sz w:val="24"/>
                <w:szCs w:val="24"/>
                <w:highlight w:val="none"/>
                <w:lang w:val="en-US" w:eastAsia="zh-CN"/>
              </w:rPr>
              <w:t>传送</w:t>
            </w:r>
            <w:r>
              <w:rPr>
                <w:rFonts w:hint="eastAsia" w:ascii="仿宋" w:hAnsi="仿宋" w:eastAsia="仿宋" w:cs="仿宋"/>
                <w:color w:val="auto"/>
                <w:sz w:val="24"/>
                <w:szCs w:val="24"/>
                <w:highlight w:val="none"/>
              </w:rPr>
              <w:t>，未在投标截止时间前完成传</w:t>
            </w:r>
            <w:r>
              <w:rPr>
                <w:rFonts w:hint="eastAsia" w:ascii="仿宋" w:hAnsi="仿宋" w:eastAsia="仿宋" w:cs="仿宋"/>
                <w:color w:val="auto"/>
                <w:sz w:val="24"/>
                <w:szCs w:val="24"/>
                <w:highlight w:val="none"/>
                <w:lang w:val="en-US" w:eastAsia="zh-CN"/>
              </w:rPr>
              <w:t>送</w:t>
            </w:r>
            <w:r>
              <w:rPr>
                <w:rFonts w:hint="eastAsia" w:ascii="仿宋" w:hAnsi="仿宋" w:eastAsia="仿宋" w:cs="仿宋"/>
                <w:color w:val="auto"/>
                <w:sz w:val="24"/>
                <w:szCs w:val="24"/>
                <w:highlight w:val="none"/>
              </w:rPr>
              <w:t>的投标文件视为逾期送达。</w:t>
            </w:r>
            <w:r>
              <w:rPr>
                <w:rFonts w:hint="eastAsia" w:ascii="仿宋" w:hAnsi="仿宋" w:eastAsia="仿宋" w:cs="仿宋"/>
                <w:color w:val="auto"/>
                <w:sz w:val="24"/>
                <w:szCs w:val="24"/>
                <w:highlight w:val="none"/>
                <w:lang w:val="en-US" w:eastAsia="zh-CN"/>
              </w:rPr>
              <w:t>投标截止时间前半小时，由招标人或代理机构组织远程视频开标，投标截止时间到达后，视频开标统一下载投标文件进行唱标。</w:t>
            </w:r>
            <w:r>
              <w:rPr>
                <w:rFonts w:hint="eastAsia" w:ascii="仿宋" w:hAnsi="仿宋" w:eastAsia="仿宋" w:cs="仿宋"/>
                <w:color w:val="auto"/>
                <w:sz w:val="24"/>
                <w:szCs w:val="24"/>
                <w:highlight w:val="none"/>
              </w:rPr>
              <w:t>中标供应商领取中标通知书时，须提供三份纸质投标文件给采购人。（纸质投标文件应与</w:t>
            </w:r>
            <w:r>
              <w:rPr>
                <w:rFonts w:hint="eastAsia" w:ascii="仿宋" w:hAnsi="仿宋" w:eastAsia="仿宋" w:cs="仿宋"/>
                <w:color w:val="auto"/>
                <w:sz w:val="24"/>
                <w:szCs w:val="24"/>
                <w:highlight w:val="none"/>
                <w:lang w:val="en-US" w:eastAsia="zh-CN"/>
              </w:rPr>
              <w:t>上传</w:t>
            </w:r>
            <w:r>
              <w:rPr>
                <w:rFonts w:hint="eastAsia" w:ascii="仿宋" w:hAnsi="仿宋" w:eastAsia="仿宋" w:cs="仿宋"/>
                <w:color w:val="auto"/>
                <w:sz w:val="24"/>
                <w:szCs w:val="24"/>
                <w:highlight w:val="none"/>
              </w:rPr>
              <w:t>电子投标文件一致）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到现场</w:t>
            </w:r>
          </w:p>
        </w:tc>
        <w:tc>
          <w:tcPr>
            <w:tcW w:w="6888" w:type="dxa"/>
            <w:noWrap w:val="0"/>
            <w:vAlign w:val="center"/>
          </w:tcPr>
          <w:p>
            <w:pPr>
              <w:pStyle w:val="1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□否，本项目不邀请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lang w:eastAsia="zh-CN"/>
              </w:rPr>
              <w:t>参加开标会，由采购人和代理机构按规定开标。</w:t>
            </w:r>
          </w:p>
          <w:p>
            <w:pPr>
              <w:pStyle w:val="1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yellow"/>
                <w:lang w:eastAsia="zh-CN"/>
              </w:rPr>
              <w:sym w:font="Wingdings 2" w:char="0052"/>
            </w:r>
            <w:r>
              <w:rPr>
                <w:rFonts w:hint="eastAsia" w:ascii="仿宋" w:hAnsi="仿宋" w:eastAsia="仿宋" w:cs="仿宋"/>
                <w:color w:val="auto"/>
                <w:sz w:val="24"/>
                <w:szCs w:val="24"/>
                <w:highlight w:val="yellow"/>
                <w:lang w:eastAsia="zh-CN"/>
              </w:rPr>
              <w:t>是，具体要求：采购人和代理机构在规定的投标截止时间（开标时间）和地点公开开标，邀请所有供应商的法定代表人或其委托代理人参加。供应商须携带：《法定代表人授权委托书》原件或《法定代表人证明》原件（格式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评标办法</w:t>
            </w:r>
          </w:p>
        </w:tc>
        <w:tc>
          <w:tcPr>
            <w:tcW w:w="6888" w:type="dxa"/>
            <w:noWrap w:val="0"/>
            <w:vAlign w:val="center"/>
          </w:tcPr>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本项目采用：</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最低评标价法；</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综合评分法。</w:t>
            </w:r>
          </w:p>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评标办法详见招标文件。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Cs w:val="21"/>
                <w:highlight w:val="none"/>
              </w:rPr>
              <w:t>履约保证金（合同履约担保）</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1.履约保证金的金额：中标价的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2.履约保证金的形式：支票、汇票、本票或者金融机构、担保机构出具的保函、 </w:t>
            </w:r>
            <w:r>
              <w:rPr>
                <w:rFonts w:hint="eastAsia" w:ascii="仿宋" w:hAnsi="仿宋" w:eastAsia="仿宋" w:cs="仿宋"/>
                <w:color w:val="auto"/>
                <w:sz w:val="24"/>
                <w:szCs w:val="24"/>
                <w:highlight w:val="none"/>
                <w:u w:val="single"/>
              </w:rPr>
              <w:t>        </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3.履约保证金账户</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开户单位：</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代理服务费</w:t>
            </w:r>
          </w:p>
        </w:tc>
        <w:tc>
          <w:tcPr>
            <w:tcW w:w="6888" w:type="dxa"/>
            <w:noWrap w:val="0"/>
            <w:vAlign w:val="center"/>
          </w:tcPr>
          <w:p>
            <w:pPr>
              <w:pStyle w:val="36"/>
              <w:rPr>
                <w:rFonts w:hint="eastAsia" w:ascii="仿宋" w:hAnsi="仿宋" w:eastAsia="仿宋" w:cs="仿宋"/>
                <w:color w:val="auto"/>
                <w:highlight w:val="none"/>
              </w:rPr>
            </w:pPr>
            <w:r>
              <w:rPr>
                <w:rFonts w:hint="eastAsia" w:ascii="仿宋" w:hAnsi="仿宋" w:eastAsia="仿宋" w:cs="仿宋"/>
                <w:color w:val="auto"/>
                <w:highlight w:val="none"/>
              </w:rPr>
              <w:t>1.支付方：</w:t>
            </w:r>
            <w:r>
              <w:rPr>
                <w:rFonts w:hint="eastAsia" w:ascii="仿宋" w:hAnsi="仿宋" w:eastAsia="仿宋" w:cs="仿宋"/>
                <w:color w:val="auto"/>
                <w:highlight w:val="none"/>
              </w:rPr>
              <w:sym w:font="Wingdings" w:char="00A8"/>
            </w:r>
            <w:r>
              <w:rPr>
                <w:rFonts w:hint="eastAsia" w:ascii="仿宋" w:hAnsi="仿宋" w:eastAsia="仿宋" w:cs="仿宋"/>
                <w:color w:val="auto"/>
                <w:highlight w:val="none"/>
              </w:rPr>
              <w:t>采购人；</w:t>
            </w:r>
            <w:r>
              <w:rPr>
                <w:rFonts w:hint="eastAsia" w:ascii="仿宋" w:hAnsi="仿宋" w:eastAsia="仿宋" w:cs="仿宋"/>
                <w:color w:val="auto"/>
                <w:highlight w:val="none"/>
              </w:rPr>
              <w:sym w:font="Wingdings" w:char="00FE"/>
            </w:r>
            <w:r>
              <w:rPr>
                <w:rFonts w:hint="eastAsia" w:ascii="仿宋" w:hAnsi="仿宋" w:eastAsia="仿宋" w:cs="仿宋"/>
                <w:color w:val="auto"/>
                <w:highlight w:val="none"/>
              </w:rPr>
              <w:t>中标供应商。</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2.本项目代理服务费金额：</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36"/>
              <w:rPr>
                <w:rFonts w:hint="eastAsia" w:ascii="仿宋" w:hAnsi="仿宋" w:eastAsia="仿宋" w:cs="仿宋"/>
                <w:color w:val="auto"/>
                <w:highlight w:val="none"/>
              </w:rPr>
            </w:pPr>
            <w:r>
              <w:rPr>
                <w:rFonts w:hint="eastAsia" w:ascii="仿宋" w:hAnsi="仿宋" w:eastAsia="仿宋" w:cs="仿宋"/>
                <w:color w:val="auto"/>
                <w:szCs w:val="24"/>
                <w:highlight w:val="none"/>
                <w:lang w:val="en-US" w:eastAsia="zh-CN"/>
              </w:rPr>
              <w:t>不足3000元的按照3000收取。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0"/>
                <w:highlight w:val="none"/>
                <w:lang w:val="en-US" w:eastAsia="zh-CN"/>
              </w:rPr>
            </w:pPr>
            <w:r>
              <w:rPr>
                <w:rFonts w:hint="eastAsia" w:ascii="仿宋" w:hAnsi="仿宋" w:eastAsia="仿宋" w:cs="仿宋"/>
                <w:color w:val="auto"/>
                <w:sz w:val="24"/>
                <w:szCs w:val="20"/>
                <w:highlight w:val="none"/>
                <w:lang w:val="en-US" w:eastAsia="zh-CN"/>
              </w:rPr>
              <w:t>18</w:t>
            </w:r>
          </w:p>
        </w:tc>
        <w:tc>
          <w:tcPr>
            <w:tcW w:w="1945" w:type="dxa"/>
            <w:noWrap w:val="0"/>
            <w:vAlign w:val="center"/>
          </w:tcPr>
          <w:p>
            <w:pPr>
              <w:spacing w:line="360" w:lineRule="exact"/>
              <w:jc w:val="center"/>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业绩</w:t>
            </w:r>
          </w:p>
        </w:tc>
        <w:tc>
          <w:tcPr>
            <w:tcW w:w="6888" w:type="dxa"/>
            <w:noWrap w:val="0"/>
            <w:vAlign w:val="center"/>
          </w:tcPr>
          <w:p>
            <w:pPr>
              <w:pStyle w:val="10"/>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本项目将对中标供应商经评标委员会评审认可的投标业绩（含合同名称、签订时间等）进行公示。如有虚假，将取消中标资格并上报芜湖市公共资源交易管理局按有关规定处理。【除非本招标文件另有规定，业绩系指符合本招标文件规定的与最终用户(“最终用户”系指合同项目的建设方或由建设方确定的承包方)签订的合同及招标文件要求的相关证明。投标供应商与其关联公司（如母公司、控股公司、参股公司、分公司、子公司、同一法定代表人的公司等）之间签订的合同，均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52" w:type="dxa"/>
            <w:gridSpan w:val="2"/>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1.当招标文件通用部分和该专用部分不一致时，以此专用部分为准。</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.说明：</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表示采用条款，</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表示不采用条款。</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.诚信投标温馨提示：参加本次采购活动的供应商在投标文件中提供的所有资料均应真实，如有虚假，将被取消中标资格并承担不利法律后果。</w:t>
            </w:r>
          </w:p>
        </w:tc>
      </w:tr>
    </w:tbl>
    <w:p>
      <w:pPr>
        <w:rPr>
          <w:rFonts w:hint="eastAsia" w:ascii="仿宋" w:hAnsi="仿宋" w:eastAsia="仿宋" w:cs="仿宋"/>
          <w:color w:val="auto"/>
          <w:highlight w:val="none"/>
        </w:rPr>
      </w:pPr>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5" w:type="dxa"/>
            <w:noWrap w:val="0"/>
            <w:vAlign w:val="top"/>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lang w:val="en-US" w:eastAsia="zh-CN"/>
              </w:rPr>
              <w:t>一</w:t>
            </w:r>
            <w:r>
              <w:rPr>
                <w:rFonts w:hint="eastAsia" w:ascii="仿宋" w:hAnsi="仿宋" w:eastAsia="仿宋" w:cs="仿宋"/>
                <w:b/>
                <w:bCs/>
                <w:color w:val="auto"/>
                <w:szCs w:val="21"/>
                <w:highlight w:val="none"/>
              </w:rPr>
              <w:t>、获取招标文件</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投标人在获取招标文件期内</w:t>
            </w:r>
            <w:r>
              <w:rPr>
                <w:rFonts w:hint="eastAsia" w:ascii="仿宋" w:hAnsi="仿宋" w:eastAsia="仿宋" w:cs="仿宋"/>
                <w:color w:val="auto"/>
                <w:szCs w:val="21"/>
                <w:highlight w:val="none"/>
                <w:lang w:val="en-US" w:eastAsia="zh-CN"/>
              </w:rPr>
              <w:t>在安徽苏柏亚工程项目管理有限公司官网</w:t>
            </w:r>
            <w:r>
              <w:rPr>
                <w:rFonts w:hint="eastAsia" w:ascii="仿宋" w:hAnsi="仿宋" w:eastAsia="仿宋" w:cs="仿宋"/>
                <w:color w:val="auto"/>
                <w:szCs w:val="21"/>
                <w:highlight w:val="none"/>
              </w:rPr>
              <w:t>下载招标文件和其他相关资料。</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如有补疑、答疑、澄清和修改，招标人在网上澄清公告栏发布相关内容，投标人应及时上网查阅，通过</w:t>
            </w:r>
            <w:r>
              <w:rPr>
                <w:rFonts w:hint="eastAsia" w:ascii="仿宋" w:hAnsi="仿宋" w:eastAsia="仿宋" w:cs="仿宋"/>
                <w:color w:val="auto"/>
                <w:szCs w:val="21"/>
                <w:highlight w:val="none"/>
                <w:lang w:val="en-US" w:eastAsia="zh-CN"/>
              </w:rPr>
              <w:t>网站</w:t>
            </w:r>
            <w:r>
              <w:rPr>
                <w:rFonts w:hint="eastAsia" w:ascii="仿宋" w:hAnsi="仿宋" w:eastAsia="仿宋" w:cs="仿宋"/>
                <w:color w:val="auto"/>
                <w:szCs w:val="21"/>
                <w:highlight w:val="none"/>
              </w:rPr>
              <w:t>下载最新的答疑文件，据此制作投标文件。</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二</w:t>
            </w:r>
            <w:r>
              <w:rPr>
                <w:rFonts w:hint="eastAsia" w:ascii="仿宋" w:hAnsi="仿宋" w:eastAsia="仿宋" w:cs="仿宋"/>
                <w:b/>
                <w:color w:val="auto"/>
                <w:szCs w:val="21"/>
                <w:highlight w:val="none"/>
              </w:rPr>
              <w:t>、投标</w:t>
            </w:r>
          </w:p>
          <w:p>
            <w:pP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（一）投标截止时间前</w:t>
            </w:r>
            <w:r>
              <w:rPr>
                <w:rFonts w:hint="eastAsia" w:ascii="仿宋" w:hAnsi="仿宋" w:eastAsia="仿宋" w:cs="仿宋"/>
                <w:color w:val="auto"/>
                <w:szCs w:val="21"/>
                <w:highlight w:val="none"/>
                <w:lang w:val="en-US" w:eastAsia="zh-CN"/>
              </w:rPr>
              <w:t>递交纸质版投标文件，</w:t>
            </w:r>
            <w:r>
              <w:rPr>
                <w:rFonts w:hint="eastAsia" w:ascii="仿宋" w:hAnsi="仿宋" w:eastAsia="仿宋" w:cs="仿宋"/>
                <w:color w:val="auto"/>
                <w:szCs w:val="21"/>
                <w:highlight w:val="none"/>
              </w:rPr>
              <w:t>未在投标截止时间前</w:t>
            </w:r>
            <w:r>
              <w:rPr>
                <w:rFonts w:hint="eastAsia" w:ascii="仿宋" w:hAnsi="仿宋" w:eastAsia="仿宋" w:cs="仿宋"/>
                <w:color w:val="auto"/>
                <w:szCs w:val="21"/>
                <w:highlight w:val="none"/>
                <w:lang w:val="en-US" w:eastAsia="zh-CN"/>
              </w:rPr>
              <w:t>递交</w:t>
            </w:r>
            <w:r>
              <w:rPr>
                <w:rFonts w:hint="eastAsia" w:ascii="仿宋" w:hAnsi="仿宋" w:eastAsia="仿宋" w:cs="仿宋"/>
                <w:color w:val="auto"/>
                <w:szCs w:val="21"/>
                <w:highlight w:val="none"/>
              </w:rPr>
              <w:t>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二</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电子投标文件的提交是指投标人使用</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完成上传投标文件，未在投标截止时间前完成上传的投标文件视为逾期送达。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）投标截止时间前，投标人可以修改或撤回已提交的投标文件，</w:t>
            </w:r>
            <w:r>
              <w:rPr>
                <w:rFonts w:hint="eastAsia" w:ascii="仿宋" w:hAnsi="仿宋" w:eastAsia="仿宋" w:cs="仿宋"/>
                <w:color w:val="auto"/>
                <w:szCs w:val="21"/>
                <w:highlight w:val="none"/>
                <w:lang w:val="en-US" w:eastAsia="zh-CN"/>
              </w:rPr>
              <w:t>电子</w:t>
            </w:r>
            <w:r>
              <w:rPr>
                <w:rFonts w:hint="eastAsia" w:ascii="仿宋" w:hAnsi="仿宋" w:eastAsia="仿宋" w:cs="仿宋"/>
                <w:color w:val="auto"/>
                <w:szCs w:val="21"/>
                <w:highlight w:val="none"/>
              </w:rPr>
              <w:t>投标文件以投标截止时间前完成上传至系统的最后一份为准。</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三</w:t>
            </w:r>
            <w:r>
              <w:rPr>
                <w:rFonts w:hint="eastAsia" w:ascii="仿宋" w:hAnsi="仿宋" w:eastAsia="仿宋" w:cs="仿宋"/>
                <w:b/>
                <w:color w:val="auto"/>
                <w:szCs w:val="21"/>
                <w:highlight w:val="none"/>
              </w:rPr>
              <w:t>、开标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（一）开标时间、地点和人员。招标人在规定的投标截止时间（开标时间）和地点公开开标，邀请所有投标人的法定代表人或其委托代理人准时参加。若投标人未参加现场开标</w:t>
            </w:r>
            <w:r>
              <w:rPr>
                <w:rFonts w:hint="eastAsia" w:ascii="仿宋" w:hAnsi="仿宋" w:eastAsia="仿宋" w:cs="仿宋"/>
                <w:color w:val="auto"/>
                <w:szCs w:val="21"/>
                <w:highlight w:val="none"/>
                <w:lang w:val="en-US" w:eastAsia="zh-CN"/>
              </w:rPr>
              <w:t>或视频开标</w:t>
            </w:r>
            <w:r>
              <w:rPr>
                <w:rFonts w:hint="eastAsia" w:ascii="仿宋" w:hAnsi="仿宋" w:eastAsia="仿宋" w:cs="仿宋"/>
                <w:color w:val="auto"/>
                <w:szCs w:val="21"/>
                <w:highlight w:val="none"/>
              </w:rPr>
              <w:t>的，视同认可开标结果。</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（二）开标程序</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1.宣布开标纪律；</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2.宣布开标人、招标人等有关人员姓名；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3.公布投标人名称并检查投标文件的</w:t>
            </w:r>
            <w:r>
              <w:rPr>
                <w:rFonts w:hint="eastAsia" w:ascii="仿宋" w:hAnsi="仿宋" w:eastAsia="仿宋" w:cs="仿宋"/>
                <w:color w:val="auto"/>
                <w:szCs w:val="21"/>
                <w:highlight w:val="none"/>
                <w:lang w:val="en-US" w:eastAsia="zh-CN"/>
              </w:rPr>
              <w:t>密封性</w:t>
            </w:r>
            <w:r>
              <w:rPr>
                <w:rFonts w:hint="eastAsia" w:ascii="仿宋" w:hAnsi="仿宋" w:eastAsia="仿宋" w:cs="仿宋"/>
                <w:color w:val="auto"/>
                <w:szCs w:val="21"/>
                <w:highlight w:val="none"/>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.对投标截止时间前递交的投标文件</w:t>
            </w:r>
            <w:r>
              <w:rPr>
                <w:rFonts w:hint="eastAsia" w:ascii="仿宋" w:hAnsi="仿宋" w:eastAsia="仿宋" w:cs="仿宋"/>
                <w:color w:val="auto"/>
                <w:szCs w:val="21"/>
                <w:highlight w:val="none"/>
                <w:lang w:val="en-US" w:eastAsia="zh-CN"/>
              </w:rPr>
              <w:t>拆封</w:t>
            </w:r>
            <w:r>
              <w:rPr>
                <w:rFonts w:hint="eastAsia" w:ascii="仿宋" w:hAnsi="仿宋" w:eastAsia="仿宋" w:cs="仿宋"/>
                <w:color w:val="auto"/>
                <w:szCs w:val="21"/>
                <w:highlight w:val="none"/>
              </w:rPr>
              <w:t>，当众开标；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6.当众唱标；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7.开标结束。</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（三）开标时出现下列情形之一的，拒绝其投标。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1.未在投标截止时间前通过</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提交电子投标文件的。</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.不符合招标文件其他要求或对开标活动造成严重后果的。</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四</w:t>
            </w:r>
            <w:r>
              <w:rPr>
                <w:rFonts w:hint="eastAsia" w:ascii="仿宋" w:hAnsi="仿宋" w:eastAsia="仿宋" w:cs="仿宋"/>
                <w:b/>
                <w:color w:val="auto"/>
                <w:szCs w:val="21"/>
                <w:highlight w:val="none"/>
              </w:rPr>
              <w:t>、评标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（一）招标代理机构根据有关规定组织评标工作，依法组建的评标委员会按招标文件规定的评标办法进行评标，并对评标报告签字确认。</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（二）投标人在评标期间应保持联系畅通，接受评标委员会可能发出的质询，在规定时间内澄清。未能按时澄清的，评标委员会将视同其放弃澄清。</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）项目评审中，投标文件出现下列情形之一的，评标委员会应终止对投标文件做后续评审：</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 xml:space="preserve">投标文件不完整的；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 xml:space="preserve">不同投标人的投标文件异常一致或者投标报价呈规律性差异；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招标文件规定或评标委员会认定的其他投标无效或否决投标情形；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 xml:space="preserve">相关法律、法规、规章等规定的其他投标无效或否决投标、废标情形。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五</w:t>
            </w:r>
            <w:r>
              <w:rPr>
                <w:rFonts w:hint="eastAsia" w:ascii="仿宋" w:hAnsi="仿宋" w:eastAsia="仿宋" w:cs="仿宋"/>
                <w:b/>
                <w:color w:val="auto"/>
                <w:szCs w:val="21"/>
                <w:highlight w:val="none"/>
              </w:rPr>
              <w:t>、意外情况的处理</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出现下列情形导致招标采购系统无法正常运行，或者无法保证招标采购过程的公平、公正和信息安全时，除因投标人的责任外，其余各方当事人免责：</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网络服务器发生故障而无法访问</w:t>
            </w:r>
            <w:r>
              <w:rPr>
                <w:rFonts w:hint="eastAsia" w:ascii="仿宋" w:hAnsi="仿宋" w:eastAsia="仿宋" w:cs="仿宋"/>
                <w:color w:val="auto"/>
                <w:szCs w:val="21"/>
                <w:highlight w:val="none"/>
                <w:lang w:val="en-US" w:eastAsia="zh-CN"/>
              </w:rPr>
              <w:t>邮箱的</w:t>
            </w:r>
            <w:r>
              <w:rPr>
                <w:rFonts w:hint="eastAsia" w:ascii="仿宋" w:hAnsi="仿宋" w:eastAsia="仿宋" w:cs="仿宋"/>
                <w:color w:val="auto"/>
                <w:szCs w:val="21"/>
                <w:highlight w:val="none"/>
              </w:rPr>
              <w:t xml:space="preserve">；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电力系统发生故障导致</w:t>
            </w:r>
            <w:r>
              <w:rPr>
                <w:rFonts w:hint="eastAsia" w:ascii="仿宋" w:hAnsi="仿宋" w:eastAsia="仿宋" w:cs="仿宋"/>
                <w:color w:val="auto"/>
                <w:szCs w:val="21"/>
                <w:highlight w:val="none"/>
                <w:lang w:val="en-US" w:eastAsia="zh-CN"/>
              </w:rPr>
              <w:t>网络</w:t>
            </w:r>
            <w:r>
              <w:rPr>
                <w:rFonts w:hint="eastAsia" w:ascii="仿宋" w:hAnsi="仿宋" w:eastAsia="仿宋" w:cs="仿宋"/>
                <w:color w:val="auto"/>
                <w:szCs w:val="21"/>
                <w:highlight w:val="none"/>
              </w:rPr>
              <w:t>无法</w:t>
            </w:r>
            <w:r>
              <w:rPr>
                <w:rFonts w:hint="eastAsia" w:ascii="仿宋" w:hAnsi="仿宋" w:eastAsia="仿宋" w:cs="仿宋"/>
                <w:color w:val="auto"/>
                <w:szCs w:val="21"/>
                <w:highlight w:val="none"/>
                <w:lang w:val="en-US" w:eastAsia="zh-CN"/>
              </w:rPr>
              <w:t>正常</w:t>
            </w:r>
            <w:r>
              <w:rPr>
                <w:rFonts w:hint="eastAsia" w:ascii="仿宋" w:hAnsi="仿宋" w:eastAsia="仿宋" w:cs="仿宋"/>
                <w:color w:val="auto"/>
                <w:szCs w:val="21"/>
                <w:highlight w:val="none"/>
              </w:rPr>
              <w:t xml:space="preserve">运行；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其他无法保证招标采购过程公平、公正和信息安全的。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出现上述情形</w:t>
            </w:r>
            <w:r>
              <w:rPr>
                <w:rFonts w:hint="eastAsia" w:ascii="仿宋" w:hAnsi="仿宋" w:eastAsia="仿宋" w:cs="仿宋"/>
                <w:color w:val="auto"/>
                <w:szCs w:val="21"/>
                <w:highlight w:val="none"/>
                <w:lang w:val="en-US" w:eastAsia="zh-CN"/>
              </w:rPr>
              <w:t>之一而又不能及时解决的，代理机构及时向招标人报告，经同意后采取以下处理办法：</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项目程序中止，待电系统或网络故障排除</w:t>
            </w:r>
            <w:r>
              <w:rPr>
                <w:rFonts w:hint="eastAsia" w:ascii="仿宋" w:hAnsi="仿宋" w:eastAsia="仿宋" w:cs="仿宋"/>
                <w:color w:val="auto"/>
                <w:szCs w:val="21"/>
                <w:highlight w:val="none"/>
                <w:lang w:val="en-US" w:eastAsia="zh-CN"/>
              </w:rPr>
              <w:t>后</w:t>
            </w:r>
            <w:r>
              <w:rPr>
                <w:rFonts w:hint="eastAsia" w:ascii="仿宋" w:hAnsi="仿宋" w:eastAsia="仿宋" w:cs="仿宋"/>
                <w:color w:val="auto"/>
                <w:szCs w:val="21"/>
                <w:highlight w:val="none"/>
              </w:rPr>
              <w:t>，项目程序继续进行。</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eastAsia="zh-CN"/>
              </w:rPr>
              <w:t>、终止项目，并通知投标人</w:t>
            </w:r>
            <w:r>
              <w:rPr>
                <w:rFonts w:hint="eastAsia" w:ascii="仿宋" w:hAnsi="仿宋" w:eastAsia="仿宋" w:cs="仿宋"/>
                <w:color w:val="auto"/>
                <w:szCs w:val="21"/>
                <w:highlight w:val="none"/>
              </w:rPr>
              <w:t>。</w:t>
            </w:r>
          </w:p>
          <w:p>
            <w:pPr>
              <w:rPr>
                <w:rFonts w:hint="eastAsia" w:ascii="仿宋" w:hAnsi="仿宋" w:eastAsia="仿宋" w:cs="仿宋"/>
                <w:color w:val="auto"/>
                <w:highlight w:val="none"/>
              </w:rPr>
            </w:pPr>
            <w:r>
              <w:rPr>
                <w:rFonts w:hint="eastAsia" w:ascii="仿宋" w:hAnsi="仿宋" w:eastAsia="仿宋" w:cs="仿宋"/>
                <w:b/>
                <w:color w:val="auto"/>
                <w:szCs w:val="21"/>
                <w:highlight w:val="none"/>
                <w:lang w:val="en-US" w:eastAsia="zh-CN"/>
              </w:rPr>
              <w:t>六、</w:t>
            </w:r>
            <w:r>
              <w:rPr>
                <w:rFonts w:hint="eastAsia" w:ascii="仿宋" w:hAnsi="仿宋" w:eastAsia="仿宋" w:cs="仿宋"/>
                <w:color w:val="auto"/>
                <w:szCs w:val="21"/>
                <w:highlight w:val="none"/>
                <w:lang w:val="en-US" w:eastAsia="zh-CN"/>
              </w:rPr>
              <w:t>因投标人计算机系统遭遇网络堵塞、病毒入侵等不能正常上传投标文件、提交的投标文件本身含有计算机病毒或非完整文件等无法参与开标等招标采购活动的，后果由投标人承担。</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第三章  合同条款前附表</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序号</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履约地点为：</w:t>
            </w:r>
            <w:r>
              <w:rPr>
                <w:rFonts w:hint="eastAsia" w:ascii="仿宋" w:hAnsi="仿宋" w:eastAsia="仿宋" w:cs="仿宋"/>
                <w:color w:val="auto"/>
                <w:szCs w:val="21"/>
                <w:highlight w:val="none"/>
                <w:lang w:val="en-US" w:eastAsia="zh-CN"/>
              </w:rPr>
              <w:t>芜湖市</w:t>
            </w:r>
          </w:p>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（注：由采购人指定本项目履约地点）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付款应按下列条件进行：</w:t>
            </w:r>
            <w:r>
              <w:rPr>
                <w:rFonts w:hint="eastAsia" w:ascii="仿宋" w:hAnsi="仿宋" w:eastAsia="仿宋" w:cs="仿宋"/>
                <w:color w:val="auto"/>
                <w:szCs w:val="21"/>
                <w:highlight w:val="none"/>
                <w:lang w:val="en-US" w:eastAsia="zh-CN"/>
              </w:rPr>
              <w:t>合同中商定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索赔方式：在合同中约定。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4</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本合同买方为：</w:t>
            </w:r>
            <w:r>
              <w:rPr>
                <w:rFonts w:hint="eastAsia" w:ascii="仿宋" w:hAnsi="仿宋" w:eastAsia="仿宋" w:cs="仿宋"/>
                <w:color w:val="auto"/>
                <w:szCs w:val="21"/>
                <w:highlight w:val="none"/>
                <w:lang w:val="en-US" w:eastAsia="zh-CN"/>
              </w:rPr>
              <w:t>芜湖城市建设集团有限公司</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交货时间（供货期）：</w:t>
            </w:r>
            <w:r>
              <w:rPr>
                <w:rFonts w:hint="eastAsia" w:ascii="仿宋" w:hAnsi="仿宋" w:eastAsia="仿宋" w:cs="仿宋"/>
                <w:color w:val="auto"/>
                <w:szCs w:val="21"/>
                <w:highlight w:val="none"/>
                <w:lang w:val="en-US" w:eastAsia="zh-CN"/>
              </w:rPr>
              <w:t>5个日历天</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交货地点：</w:t>
            </w:r>
            <w:r>
              <w:rPr>
                <w:rFonts w:hint="eastAsia" w:ascii="仿宋" w:hAnsi="仿宋" w:eastAsia="仿宋" w:cs="仿宋"/>
                <w:color w:val="auto"/>
                <w:szCs w:val="21"/>
                <w:highlight w:val="none"/>
                <w:lang w:val="en-US" w:eastAsia="zh-CN"/>
              </w:rPr>
              <w:t>招标人指定地点</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代理机构：</w:t>
            </w:r>
            <w:r>
              <w:rPr>
                <w:rFonts w:hint="eastAsia" w:ascii="仿宋" w:hAnsi="仿宋" w:eastAsia="仿宋" w:cs="仿宋"/>
                <w:color w:val="auto"/>
                <w:szCs w:val="21"/>
                <w:highlight w:val="none"/>
                <w:lang w:val="en-US" w:eastAsia="zh-CN"/>
              </w:rPr>
              <w:t>安徽苏柏亚工程项目管理有限公司</w:t>
            </w:r>
          </w:p>
        </w:tc>
      </w:tr>
    </w:tbl>
    <w:p>
      <w:pPr>
        <w:rPr>
          <w:rFonts w:hint="eastAsia" w:ascii="仿宋" w:hAnsi="仿宋" w:eastAsia="仿宋" w:cs="仿宋"/>
          <w:color w:val="auto"/>
          <w:highlight w:val="none"/>
        </w:rPr>
      </w:pPr>
    </w:p>
    <w:p>
      <w:pPr>
        <w:rPr>
          <w:rFonts w:hint="eastAsia" w:ascii="仿宋" w:hAnsi="仿宋" w:eastAsia="仿宋" w:cs="仿宋"/>
          <w:b/>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第四章  采购需求</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1.以下《采购需求说明》及《采购需求一览表》所列内容为采购人所提采购需求，供应商应认真仔细研究，投标时应慎重选择相应的产品及技术参数、规格型号等进行投标。</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中标有“*”的参数为实质性参数，必须满足并以招标文件明确要求的材料为准,若招标文件未明确要求则以制造商公开发布的资料或检测机构出具的检测报告为准。若制造商公开发布的资料与检测机构出具的检测报告不一致，以检测机构出具的检测报告为准，否则，其投标无效。</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3.投标报价包括采购、运输、人工、安装、售后、验收、税费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13%</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等所有费用。</w:t>
      </w: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采购需求说明</w:t>
      </w:r>
    </w:p>
    <w:p>
      <w:pPr>
        <w:spacing w:line="360" w:lineRule="auto"/>
        <w:jc w:val="both"/>
        <w:rPr>
          <w:rFonts w:hint="eastAsia" w:ascii="宋体" w:hAnsi="宋体" w:eastAsia="宋体" w:cs="宋体"/>
          <w:b/>
          <w:color w:val="000000"/>
          <w:sz w:val="28"/>
          <w:szCs w:val="28"/>
          <w:highlight w:val="none"/>
        </w:rPr>
      </w:pPr>
      <w:r>
        <w:rPr>
          <w:rFonts w:hint="eastAsia" w:ascii="宋体" w:hAnsi="宋体" w:eastAsia="宋体" w:cs="宋体"/>
          <w:b/>
          <w:color w:val="000000"/>
          <w:sz w:val="28"/>
          <w:szCs w:val="28"/>
          <w:highlight w:val="none"/>
        </w:rPr>
        <w:t>移动式排水泵站</w:t>
      </w:r>
    </w:p>
    <w:p>
      <w:pPr>
        <w:pStyle w:val="11"/>
        <w:spacing w:before="11"/>
        <w:ind w:left="0" w:firstLine="0"/>
        <w:rPr>
          <w:b/>
          <w:sz w:val="9"/>
        </w:rPr>
      </w:pPr>
      <w:r>
        <w:drawing>
          <wp:anchor distT="0" distB="0" distL="114300" distR="114300" simplePos="0" relativeHeight="251659264" behindDoc="0" locked="0" layoutInCell="1" allowOverlap="1">
            <wp:simplePos x="0" y="0"/>
            <wp:positionH relativeFrom="page">
              <wp:posOffset>1150620</wp:posOffset>
            </wp:positionH>
            <wp:positionV relativeFrom="paragraph">
              <wp:posOffset>76835</wp:posOffset>
            </wp:positionV>
            <wp:extent cx="4497070" cy="1764665"/>
            <wp:effectExtent l="0" t="0" r="11430" b="635"/>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5"/>
                    <a:stretch>
                      <a:fillRect/>
                    </a:stretch>
                  </pic:blipFill>
                  <pic:spPr>
                    <a:xfrm>
                      <a:off x="0" y="0"/>
                      <a:ext cx="4497070" cy="1764665"/>
                    </a:xfrm>
                    <a:prstGeom prst="rect">
                      <a:avLst/>
                    </a:prstGeom>
                    <a:noFill/>
                    <a:ln>
                      <a:noFill/>
                    </a:ln>
                  </pic:spPr>
                </pic:pic>
              </a:graphicData>
            </a:graphic>
          </wp:anchor>
        </w:drawing>
      </w:r>
    </w:p>
    <w:p>
      <w:pPr>
        <w:pStyle w:val="11"/>
        <w:spacing w:before="7"/>
        <w:ind w:left="0" w:firstLine="0"/>
        <w:rPr>
          <w:sz w:val="23"/>
        </w:rPr>
      </w:pPr>
      <w:r>
        <w:rPr>
          <w:rFonts w:hint="eastAsia"/>
          <w:b/>
          <w:sz w:val="28"/>
          <w:szCs w:val="13"/>
          <w:lang w:val="en-US" w:eastAsia="zh-CN"/>
        </w:rPr>
        <w:t>参考图片</w:t>
      </w:r>
    </w:p>
    <w:p>
      <w:pPr>
        <w:numPr>
          <w:ilvl w:val="0"/>
          <w:numId w:val="0"/>
        </w:numPr>
        <w:spacing w:before="266" w:line="417" w:lineRule="auto"/>
        <w:ind w:left="640" w:leftChars="0" w:right="906" w:rightChars="0"/>
        <w:jc w:val="left"/>
        <w:rPr>
          <w:rFonts w:ascii="宋体" w:hAnsi="宋体" w:eastAsia="宋体" w:cs="宋体"/>
          <w:sz w:val="21"/>
        </w:rPr>
      </w:pPr>
      <w:r>
        <w:rPr>
          <w:rFonts w:hint="eastAsia" w:ascii="宋体" w:hAnsi="宋体" w:eastAsia="宋体" w:cs="宋体"/>
          <w:sz w:val="21"/>
          <w:lang w:val="en-US" w:eastAsia="zh-CN"/>
        </w:rPr>
        <w:t>一、</w:t>
      </w:r>
      <w:r>
        <w:rPr>
          <w:rFonts w:ascii="宋体" w:hAnsi="宋体" w:eastAsia="宋体" w:cs="宋体"/>
          <w:sz w:val="21"/>
        </w:rPr>
        <w:t>产品执行标准和规范</w:t>
      </w:r>
    </w:p>
    <w:p>
      <w:pPr>
        <w:numPr>
          <w:ilvl w:val="0"/>
          <w:numId w:val="0"/>
        </w:numPr>
        <w:spacing w:before="266" w:line="417" w:lineRule="auto"/>
        <w:ind w:right="906" w:rightChars="0"/>
        <w:jc w:val="left"/>
        <w:rPr>
          <w:sz w:val="21"/>
        </w:rPr>
      </w:pPr>
      <w:r>
        <mc:AlternateContent>
          <mc:Choice Requires="wps">
            <w:drawing>
              <wp:anchor distT="0" distB="0" distL="114300" distR="114300" simplePos="0" relativeHeight="251660288" behindDoc="0" locked="0" layoutInCell="1" allowOverlap="1">
                <wp:simplePos x="0" y="0"/>
                <wp:positionH relativeFrom="page">
                  <wp:posOffset>1071245</wp:posOffset>
                </wp:positionH>
                <wp:positionV relativeFrom="paragraph">
                  <wp:posOffset>700405</wp:posOffset>
                </wp:positionV>
                <wp:extent cx="5906135" cy="12522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906135" cy="1252220"/>
                        </a:xfrm>
                        <a:prstGeom prst="rect">
                          <a:avLst/>
                        </a:prstGeom>
                        <a:noFill/>
                        <a:ln>
                          <a:noFill/>
                        </a:ln>
                      </wps:spPr>
                      <wps:txbx>
                        <w:txbxContent>
                          <w:tbl>
                            <w:tblPr>
                              <w:tblStyle w:val="1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56"/>
                              <w:gridCol w:w="56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rPr>
                                      <w:sz w:val="21"/>
                                      <w:szCs w:val="21"/>
                                    </w:rPr>
                                  </w:pPr>
                                  <w:r>
                                    <w:rPr>
                                      <w:sz w:val="21"/>
                                      <w:szCs w:val="21"/>
                                    </w:rPr>
                                    <w:t>GB/T 5656-2008</w:t>
                                  </w:r>
                                </w:p>
                              </w:tc>
                              <w:tc>
                                <w:tcPr>
                                  <w:tcW w:w="5607" w:type="dxa"/>
                                  <w:noWrap w:val="0"/>
                                  <w:vAlign w:val="top"/>
                                </w:tcPr>
                                <w:p>
                                  <w:pPr>
                                    <w:pStyle w:val="59"/>
                                    <w:rPr>
                                      <w:sz w:val="21"/>
                                      <w:szCs w:val="21"/>
                                    </w:rPr>
                                  </w:pPr>
                                  <w:r>
                                    <w:rPr>
                                      <w:sz w:val="21"/>
                                      <w:szCs w:val="21"/>
                                    </w:rPr>
                                    <w:t>离心泵（II 类）技术条件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156" w:type="dxa"/>
                                  <w:noWrap w:val="0"/>
                                  <w:vAlign w:val="top"/>
                                </w:tcPr>
                                <w:p>
                                  <w:pPr>
                                    <w:pStyle w:val="59"/>
                                    <w:rPr>
                                      <w:sz w:val="21"/>
                                      <w:szCs w:val="21"/>
                                    </w:rPr>
                                  </w:pPr>
                                  <w:r>
                                    <w:rPr>
                                      <w:sz w:val="21"/>
                                      <w:szCs w:val="21"/>
                                    </w:rPr>
                                    <w:t>JB/T 5943</w:t>
                                  </w:r>
                                </w:p>
                              </w:tc>
                              <w:tc>
                                <w:tcPr>
                                  <w:tcW w:w="5607" w:type="dxa"/>
                                  <w:noWrap w:val="0"/>
                                  <w:vAlign w:val="top"/>
                                </w:tcPr>
                                <w:p>
                                  <w:pPr>
                                    <w:pStyle w:val="59"/>
                                    <w:rPr>
                                      <w:sz w:val="21"/>
                                      <w:szCs w:val="21"/>
                                    </w:rPr>
                                  </w:pPr>
                                  <w:r>
                                    <w:rPr>
                                      <w:sz w:val="21"/>
                                      <w:szCs w:val="21"/>
                                    </w:rPr>
                                    <w:t>工程机械 焊接件 通用技术条件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484</w:t>
                                  </w:r>
                                </w:p>
                              </w:tc>
                              <w:tc>
                                <w:tcPr>
                                  <w:tcW w:w="5607" w:type="dxa"/>
                                  <w:noWrap w:val="0"/>
                                  <w:vAlign w:val="top"/>
                                </w:tcPr>
                                <w:p>
                                  <w:pPr>
                                    <w:pStyle w:val="59"/>
                                    <w:tabs>
                                      <w:tab w:val="left" w:pos="767"/>
                                    </w:tabs>
                                    <w:spacing w:before="94"/>
                                    <w:rPr>
                                      <w:sz w:val="21"/>
                                      <w:szCs w:val="21"/>
                                    </w:rPr>
                                  </w:pPr>
                                  <w:r>
                                    <w:rPr>
                                      <w:sz w:val="21"/>
                                      <w:szCs w:val="21"/>
                                    </w:rPr>
                                    <w:t>汽车油</w:t>
                                  </w:r>
                                  <w:r>
                                    <w:rPr>
                                      <w:spacing w:val="-3"/>
                                      <w:sz w:val="21"/>
                                      <w:szCs w:val="21"/>
                                    </w:rPr>
                                    <w:t>漆</w:t>
                                  </w:r>
                                  <w:r>
                                    <w:rPr>
                                      <w:sz w:val="21"/>
                                      <w:szCs w:val="21"/>
                                    </w:rPr>
                                    <w:t>涂层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625</w:t>
                                  </w:r>
                                </w:p>
                              </w:tc>
                              <w:tc>
                                <w:tcPr>
                                  <w:tcW w:w="5607" w:type="dxa"/>
                                  <w:noWrap w:val="0"/>
                                  <w:vAlign w:val="top"/>
                                </w:tcPr>
                                <w:p>
                                  <w:pPr>
                                    <w:pStyle w:val="59"/>
                                    <w:spacing w:before="94"/>
                                    <w:rPr>
                                      <w:sz w:val="21"/>
                                      <w:szCs w:val="21"/>
                                    </w:rPr>
                                  </w:pPr>
                                  <w:r>
                                    <w:rPr>
                                      <w:sz w:val="21"/>
                                      <w:szCs w:val="21"/>
                                    </w:rPr>
                                    <w:t>汽车用涂镀层和化学处理层</w:t>
                                  </w:r>
                                </w:p>
                              </w:tc>
                            </w:tr>
                          </w:tbl>
                          <w:p>
                            <w:pPr>
                              <w:pStyle w:val="11"/>
                              <w:spacing w:before="0"/>
                              <w:ind w:left="0" w:firstLine="0"/>
                            </w:pPr>
                          </w:p>
                        </w:txbxContent>
                      </wps:txbx>
                      <wps:bodyPr lIns="0" tIns="0" rIns="0" bIns="0" upright="1"/>
                    </wps:wsp>
                  </a:graphicData>
                </a:graphic>
              </wp:anchor>
            </w:drawing>
          </mc:Choice>
          <mc:Fallback>
            <w:pict>
              <v:shape id="_x0000_s1026" o:spid="_x0000_s1026" o:spt="202" type="#_x0000_t202" style="position:absolute;left:0pt;margin-left:84.35pt;margin-top:55.15pt;height:98.6pt;width:465.05pt;mso-position-horizontal-relative:page;z-index:251660288;mso-width-relative:page;mso-height-relative:page;" filled="f" stroked="f" coordsize="21600,21600" o:gfxdata="UEsDBAoAAAAAAIdO4kAAAAAAAAAAAAAAAAAEAAAAZHJzL1BLAwQUAAAACACHTuJASS7sQNkAAAAM&#10;AQAADwAAAGRycy9kb3ducmV2LnhtbE2Py07DMBBF90j8gzVI7KgdKtI0xKkQghUSIg0Llk48TaLG&#10;4xC7D/6e6Qp2czVH91Fszm4UR5zD4ElDslAgkFpvB+o0fNavdxmIEA1ZM3pCDT8YYFNeXxUmt/5E&#10;FR63sRNsQiE3GvoYp1zK0PboTFj4CYl/Oz87E1nOnbSzObG5G+W9Uql0ZiBO6M2Ezz22++3BaXj6&#10;oupl+H5vPqpdNdT1WtFbutf69iZRjyAinuMfDJf6XB1K7tT4A9kgRtZptmKUj0QtQVwItc54TaNh&#10;qVYPIMtC/h9R/gJQSwMEFAAAAAgAh07iQJtf6AC8AQAAcwMAAA4AAABkcnMvZTJvRG9jLnhtbK1T&#10;S27bMBDdF+gdCO5ryiocpILlAIWRokDRFkhzAJoiLQL8YUhb8gXaG3TVTfc5l8/RIW05abrJohtq&#10;NDN6894bankzWkP2EqL2rqXzWUWJdMJ32m1bev/t9s01JTFx13HjnWzpQUZ6s3r9ajmERta+96aT&#10;QBDExWYILe1TCg1jUfTS8jjzQTosKg+WJ3yFLeuAD4huDaur6ooNHroAXsgYMbs+FekZEV4C6JXS&#10;Qq692Fnp0gkVpOEJJcVeh0hXha1SUqQvSkWZiGkpKk3lxCEYb/LJVkvebIGHXoszBf4SCs80Wa4d&#10;Dr1ArXniZAf6HyirBfjoVZoJb9lJSHEEVcyrZ97c9TzIogWtjuFievx/sOLz/isQ3bW0psRxiws/&#10;/vxx/PVw/P2d1NmeIcQGu+4C9qXxvR/x0kz5iMmselRg8xP1EKyjuYeLuXJMRGBy8a66mr9dUCKw&#10;Nq8XdV0X+9nj5wFi+iC9JTloKeD2iql8/ykmpIKtU0ue5vytNqZs0Li/EtiYMyxzP3HMURo341nQ&#10;xncH1GM+OvQy34spgCnYTMEugN72SKeoLpC4i0LmfG/ysp++l8GP/8rq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ku7EDZAAAADAEAAA8AAAAAAAAAAQAgAAAAIgAAAGRycy9kb3ducmV2LnhtbFBL&#10;AQIUABQAAAAIAIdO4kCbX+gAvAEAAHMDAAAOAAAAAAAAAAEAIAAAACgBAABkcnMvZTJvRG9jLnht&#10;bFBLBQYAAAAABgAGAFkBAABWBQAAAAA=&#10;">
                <v:fill on="f" focussize="0,0"/>
                <v:stroke on="f"/>
                <v:imagedata o:title=""/>
                <o:lock v:ext="edit" aspectratio="f"/>
                <v:textbox inset="0mm,0mm,0mm,0mm">
                  <w:txbxContent>
                    <w:tbl>
                      <w:tblPr>
                        <w:tblStyle w:val="1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56"/>
                        <w:gridCol w:w="56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rPr>
                                <w:sz w:val="21"/>
                                <w:szCs w:val="21"/>
                              </w:rPr>
                            </w:pPr>
                            <w:r>
                              <w:rPr>
                                <w:sz w:val="21"/>
                                <w:szCs w:val="21"/>
                              </w:rPr>
                              <w:t>GB/T 5656-2008</w:t>
                            </w:r>
                          </w:p>
                        </w:tc>
                        <w:tc>
                          <w:tcPr>
                            <w:tcW w:w="5607" w:type="dxa"/>
                            <w:noWrap w:val="0"/>
                            <w:vAlign w:val="top"/>
                          </w:tcPr>
                          <w:p>
                            <w:pPr>
                              <w:pStyle w:val="59"/>
                              <w:rPr>
                                <w:sz w:val="21"/>
                                <w:szCs w:val="21"/>
                              </w:rPr>
                            </w:pPr>
                            <w:r>
                              <w:rPr>
                                <w:sz w:val="21"/>
                                <w:szCs w:val="21"/>
                              </w:rPr>
                              <w:t>离心泵（II 类）技术条件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156" w:type="dxa"/>
                            <w:noWrap w:val="0"/>
                            <w:vAlign w:val="top"/>
                          </w:tcPr>
                          <w:p>
                            <w:pPr>
                              <w:pStyle w:val="59"/>
                              <w:rPr>
                                <w:sz w:val="21"/>
                                <w:szCs w:val="21"/>
                              </w:rPr>
                            </w:pPr>
                            <w:r>
                              <w:rPr>
                                <w:sz w:val="21"/>
                                <w:szCs w:val="21"/>
                              </w:rPr>
                              <w:t>JB/T 5943</w:t>
                            </w:r>
                          </w:p>
                        </w:tc>
                        <w:tc>
                          <w:tcPr>
                            <w:tcW w:w="5607" w:type="dxa"/>
                            <w:noWrap w:val="0"/>
                            <w:vAlign w:val="top"/>
                          </w:tcPr>
                          <w:p>
                            <w:pPr>
                              <w:pStyle w:val="59"/>
                              <w:rPr>
                                <w:sz w:val="21"/>
                                <w:szCs w:val="21"/>
                              </w:rPr>
                            </w:pPr>
                            <w:r>
                              <w:rPr>
                                <w:sz w:val="21"/>
                                <w:szCs w:val="21"/>
                              </w:rPr>
                              <w:t>工程机械 焊接件 通用技术条件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484</w:t>
                            </w:r>
                          </w:p>
                        </w:tc>
                        <w:tc>
                          <w:tcPr>
                            <w:tcW w:w="5607" w:type="dxa"/>
                            <w:noWrap w:val="0"/>
                            <w:vAlign w:val="top"/>
                          </w:tcPr>
                          <w:p>
                            <w:pPr>
                              <w:pStyle w:val="59"/>
                              <w:tabs>
                                <w:tab w:val="left" w:pos="767"/>
                              </w:tabs>
                              <w:spacing w:before="94"/>
                              <w:rPr>
                                <w:sz w:val="21"/>
                                <w:szCs w:val="21"/>
                              </w:rPr>
                            </w:pPr>
                            <w:r>
                              <w:rPr>
                                <w:sz w:val="21"/>
                                <w:szCs w:val="21"/>
                              </w:rPr>
                              <w:t>汽车油</w:t>
                            </w:r>
                            <w:r>
                              <w:rPr>
                                <w:spacing w:val="-3"/>
                                <w:sz w:val="21"/>
                                <w:szCs w:val="21"/>
                              </w:rPr>
                              <w:t>漆</w:t>
                            </w:r>
                            <w:r>
                              <w:rPr>
                                <w:sz w:val="21"/>
                                <w:szCs w:val="21"/>
                              </w:rPr>
                              <w:t>涂层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625</w:t>
                            </w:r>
                          </w:p>
                        </w:tc>
                        <w:tc>
                          <w:tcPr>
                            <w:tcW w:w="5607" w:type="dxa"/>
                            <w:noWrap w:val="0"/>
                            <w:vAlign w:val="top"/>
                          </w:tcPr>
                          <w:p>
                            <w:pPr>
                              <w:pStyle w:val="59"/>
                              <w:spacing w:before="94"/>
                              <w:rPr>
                                <w:sz w:val="21"/>
                                <w:szCs w:val="21"/>
                              </w:rPr>
                            </w:pPr>
                            <w:r>
                              <w:rPr>
                                <w:sz w:val="21"/>
                                <w:szCs w:val="21"/>
                              </w:rPr>
                              <w:t>汽车用涂镀层和化学处理层</w:t>
                            </w:r>
                          </w:p>
                        </w:tc>
                      </w:tr>
                    </w:tbl>
                    <w:p>
                      <w:pPr>
                        <w:pStyle w:val="11"/>
                        <w:spacing w:before="0"/>
                        <w:ind w:left="0" w:firstLine="0"/>
                      </w:pPr>
                    </w:p>
                  </w:txbxContent>
                </v:textbox>
              </v:shape>
            </w:pict>
          </mc:Fallback>
        </mc:AlternateContent>
      </w:r>
      <w:r>
        <w:rPr>
          <w:sz w:val="21"/>
        </w:rPr>
        <w:t>产品</w:t>
      </w:r>
      <w:r>
        <w:rPr>
          <w:rFonts w:hint="eastAsia"/>
          <w:sz w:val="21"/>
          <w:lang w:val="en-US" w:eastAsia="zh-CN"/>
        </w:rPr>
        <w:t>符合</w:t>
      </w:r>
      <w:r>
        <w:rPr>
          <w:sz w:val="21"/>
        </w:rPr>
        <w:t>最新颁布执行的国家标准、行业标准。当以上标准中的条款与本技术条件发生偏差时，应以本技术条件为准。</w:t>
      </w:r>
    </w:p>
    <w:p>
      <w:pPr>
        <w:pStyle w:val="12"/>
        <w:rPr>
          <w:sz w:val="21"/>
        </w:rPr>
      </w:pPr>
    </w:p>
    <w:p>
      <w:pPr>
        <w:rPr>
          <w:sz w:val="21"/>
        </w:rPr>
      </w:pPr>
    </w:p>
    <w:p>
      <w:pPr>
        <w:pStyle w:val="12"/>
        <w:rPr>
          <w:sz w:val="21"/>
        </w:rPr>
      </w:pPr>
    </w:p>
    <w:p>
      <w:pPr>
        <w:rPr>
          <w:sz w:val="21"/>
        </w:rPr>
      </w:pPr>
    </w:p>
    <w:p>
      <w:pPr>
        <w:pStyle w:val="12"/>
        <w:rPr>
          <w:sz w:val="21"/>
        </w:rPr>
      </w:pPr>
    </w:p>
    <w:p>
      <w:pPr>
        <w:rPr>
          <w:sz w:val="21"/>
        </w:rPr>
      </w:pPr>
    </w:p>
    <w:p>
      <w:pPr>
        <w:pStyle w:val="5"/>
        <w:numPr>
          <w:ilvl w:val="0"/>
          <w:numId w:val="0"/>
        </w:numPr>
        <w:tabs>
          <w:tab w:val="left" w:pos="628"/>
        </w:tabs>
        <w:spacing w:before="30" w:after="0" w:line="240" w:lineRule="auto"/>
        <w:ind w:right="0" w:rightChars="0"/>
        <w:jc w:val="both"/>
      </w:pPr>
    </w:p>
    <w:p>
      <w:pPr>
        <w:bidi w:val="0"/>
        <w:outlineLvl w:val="9"/>
        <w:rPr>
          <w:b/>
          <w:bCs/>
          <w:sz w:val="24"/>
          <w:szCs w:val="28"/>
        </w:rPr>
      </w:pPr>
      <w:r>
        <w:rPr>
          <w:rFonts w:hint="eastAsia"/>
          <w:b/>
          <w:bCs/>
          <w:sz w:val="24"/>
          <w:szCs w:val="28"/>
          <w:lang w:val="en-US" w:eastAsia="zh-CN"/>
        </w:rPr>
        <w:t>1、</w:t>
      </w:r>
      <w:r>
        <w:rPr>
          <w:b/>
          <w:bCs/>
          <w:sz w:val="24"/>
          <w:szCs w:val="28"/>
        </w:rPr>
        <w:t>产品基本功能</w:t>
      </w:r>
    </w:p>
    <w:p>
      <w:pPr>
        <w:pStyle w:val="60"/>
        <w:numPr>
          <w:ilvl w:val="1"/>
          <w:numId w:val="1"/>
        </w:numPr>
        <w:tabs>
          <w:tab w:val="left" w:pos="542"/>
        </w:tabs>
        <w:spacing w:before="257" w:after="0" w:line="240" w:lineRule="auto"/>
        <w:ind w:left="541" w:right="0" w:hanging="322"/>
        <w:jc w:val="both"/>
        <w:rPr>
          <w:rFonts w:ascii="Calibri" w:eastAsia="Calibri"/>
          <w:b/>
          <w:sz w:val="21"/>
        </w:rPr>
      </w:pPr>
      <w:r>
        <w:rPr>
          <w:b/>
          <w:sz w:val="21"/>
        </w:rPr>
        <w:t>产品介绍</w:t>
      </w:r>
    </w:p>
    <w:p>
      <w:pPr>
        <w:spacing w:before="21" w:line="278" w:lineRule="auto"/>
        <w:ind w:left="220" w:right="999" w:firstLine="420"/>
        <w:jc w:val="both"/>
        <w:rPr>
          <w:sz w:val="21"/>
        </w:rPr>
      </w:pPr>
      <w:r>
        <w:rPr>
          <w:rFonts w:ascii="宋体" w:hAnsi="宋体" w:eastAsia="宋体" w:cs="宋体"/>
          <w:sz w:val="21"/>
          <w:szCs w:val="22"/>
          <w:lang w:val="zh-CN" w:eastAsia="zh-CN" w:bidi="zh-CN"/>
        </w:rPr>
        <w:t>整机采用一体化设计，具备吸污、排污、排水多种功能，结构紧凑，功能强大，经济适用。移动式排水泵站可执行供水、排水、吸污、排污、高压冲洗等多种作业任务。移动泵站采用低重心扭力轴，在车辆的牵引下可实现快速机动，应急突击能力强。整机以柴油机为动力，真空辅助自吸式离心泵通过高挠性橡胶传动联轴器与柴油机直联，传动效率高，运行稳定可靠。</w:t>
      </w:r>
    </w:p>
    <w:p>
      <w:pPr>
        <w:pStyle w:val="60"/>
        <w:numPr>
          <w:ilvl w:val="1"/>
          <w:numId w:val="1"/>
        </w:numPr>
        <w:tabs>
          <w:tab w:val="left" w:pos="535"/>
        </w:tabs>
        <w:spacing w:before="76" w:after="0" w:line="240" w:lineRule="auto"/>
        <w:ind w:left="534" w:right="0" w:hanging="315"/>
        <w:jc w:val="both"/>
        <w:rPr>
          <w:rFonts w:ascii="Times New Roman" w:eastAsia="Times New Roman"/>
          <w:b/>
          <w:sz w:val="21"/>
        </w:rPr>
      </w:pPr>
      <w:r>
        <w:rPr>
          <w:b/>
          <w:sz w:val="21"/>
        </w:rPr>
        <w:t>产品特点：</w:t>
      </w:r>
    </w:p>
    <w:p>
      <w:pPr>
        <w:pStyle w:val="60"/>
        <w:numPr>
          <w:ilvl w:val="0"/>
          <w:numId w:val="2"/>
        </w:numPr>
        <w:tabs>
          <w:tab w:val="left" w:pos="746"/>
        </w:tabs>
        <w:spacing w:before="122" w:after="0" w:line="240" w:lineRule="auto"/>
        <w:ind w:left="745" w:right="0" w:hanging="318"/>
        <w:jc w:val="left"/>
        <w:rPr>
          <w:sz w:val="21"/>
        </w:rPr>
      </w:pPr>
      <w:r>
        <w:rPr>
          <w:spacing w:val="-1"/>
          <w:sz w:val="21"/>
        </w:rPr>
        <w:t>泵站结构紧凑； 排水易于操作；</w:t>
      </w:r>
    </w:p>
    <w:p>
      <w:pPr>
        <w:pStyle w:val="60"/>
        <w:numPr>
          <w:ilvl w:val="0"/>
          <w:numId w:val="2"/>
        </w:numPr>
        <w:tabs>
          <w:tab w:val="left" w:pos="746"/>
        </w:tabs>
        <w:spacing w:before="43" w:after="0" w:line="240" w:lineRule="auto"/>
        <w:ind w:left="745" w:right="0" w:hanging="318"/>
        <w:jc w:val="left"/>
        <w:rPr>
          <w:sz w:val="21"/>
        </w:rPr>
      </w:pPr>
      <w:r>
        <w:rPr>
          <w:sz w:val="21"/>
        </w:rPr>
        <w:t>排水泵配备真空辅助自吸系统，抽真空速度快；</w:t>
      </w:r>
    </w:p>
    <w:p>
      <w:pPr>
        <w:pStyle w:val="60"/>
        <w:numPr>
          <w:ilvl w:val="0"/>
          <w:numId w:val="2"/>
        </w:numPr>
        <w:tabs>
          <w:tab w:val="left" w:pos="746"/>
        </w:tabs>
        <w:spacing w:before="43" w:after="0" w:line="240" w:lineRule="auto"/>
        <w:ind w:left="745" w:right="0" w:hanging="318"/>
        <w:jc w:val="left"/>
        <w:rPr>
          <w:sz w:val="21"/>
        </w:rPr>
      </w:pPr>
      <w:r>
        <w:rPr>
          <w:sz w:val="21"/>
        </w:rPr>
        <w:t>排水泵配备防干转保护系统，排水泵可长时间处于无水干转状态；</w:t>
      </w:r>
    </w:p>
    <w:p>
      <w:pPr>
        <w:pStyle w:val="60"/>
        <w:numPr>
          <w:ilvl w:val="0"/>
          <w:numId w:val="2"/>
        </w:numPr>
        <w:tabs>
          <w:tab w:val="left" w:pos="746"/>
        </w:tabs>
        <w:spacing w:before="43" w:after="0" w:line="240" w:lineRule="auto"/>
        <w:ind w:left="745" w:right="0" w:hanging="318"/>
        <w:jc w:val="left"/>
        <w:rPr>
          <w:sz w:val="21"/>
        </w:rPr>
      </w:pPr>
      <w:r>
        <w:rPr>
          <w:spacing w:val="-4"/>
          <w:sz w:val="21"/>
        </w:rPr>
        <w:t xml:space="preserve">排水泵流道设计独特，最大可通过 </w:t>
      </w:r>
      <w:r>
        <w:rPr>
          <w:sz w:val="21"/>
        </w:rPr>
        <w:t>70</w:t>
      </w:r>
      <w:r>
        <w:rPr>
          <w:spacing w:val="-8"/>
          <w:sz w:val="21"/>
        </w:rPr>
        <w:t xml:space="preserve"> 毫米固体颗粒，既可以排水也可以排污；</w:t>
      </w:r>
    </w:p>
    <w:p>
      <w:pPr>
        <w:pStyle w:val="60"/>
        <w:numPr>
          <w:ilvl w:val="0"/>
          <w:numId w:val="2"/>
        </w:numPr>
        <w:tabs>
          <w:tab w:val="left" w:pos="746"/>
        </w:tabs>
        <w:spacing w:before="43" w:after="0" w:line="240" w:lineRule="auto"/>
        <w:ind w:left="745" w:right="0" w:hanging="318"/>
        <w:jc w:val="left"/>
        <w:rPr>
          <w:sz w:val="21"/>
        </w:rPr>
      </w:pPr>
      <w:r>
        <w:rPr>
          <w:sz w:val="21"/>
        </w:rPr>
        <w:t>排水泵具有自排渣功能，可有效防止机封过早损坏；</w:t>
      </w:r>
    </w:p>
    <w:p>
      <w:pPr>
        <w:pStyle w:val="60"/>
        <w:numPr>
          <w:ilvl w:val="0"/>
          <w:numId w:val="2"/>
        </w:numPr>
        <w:tabs>
          <w:tab w:val="left" w:pos="746"/>
        </w:tabs>
        <w:spacing w:before="43" w:after="0" w:line="240" w:lineRule="auto"/>
        <w:ind w:left="745" w:right="0" w:hanging="318"/>
        <w:jc w:val="left"/>
        <w:rPr>
          <w:sz w:val="21"/>
        </w:rPr>
      </w:pPr>
      <w:r>
        <w:rPr>
          <w:sz w:val="21"/>
        </w:rPr>
        <w:t>给排水泵口径小，排量大，扬程高，给排水输送距离远；</w:t>
      </w:r>
    </w:p>
    <w:p>
      <w:pPr>
        <w:pStyle w:val="60"/>
        <w:numPr>
          <w:ilvl w:val="0"/>
          <w:numId w:val="2"/>
        </w:numPr>
        <w:tabs>
          <w:tab w:val="left" w:pos="746"/>
        </w:tabs>
        <w:spacing w:before="43" w:after="0" w:line="240" w:lineRule="auto"/>
        <w:ind w:left="745" w:right="0" w:hanging="318"/>
        <w:jc w:val="left"/>
        <w:rPr>
          <w:sz w:val="21"/>
        </w:rPr>
      </w:pPr>
      <w:r>
        <w:rPr>
          <w:spacing w:val="-4"/>
          <w:sz w:val="21"/>
        </w:rPr>
        <w:t xml:space="preserve">设备可快速机动，最高时速可达 </w:t>
      </w:r>
      <w:r>
        <w:rPr>
          <w:sz w:val="21"/>
        </w:rPr>
        <w:t>80KM/小时；</w:t>
      </w:r>
    </w:p>
    <w:p>
      <w:pPr>
        <w:pStyle w:val="60"/>
        <w:numPr>
          <w:ilvl w:val="1"/>
          <w:numId w:val="1"/>
        </w:numPr>
        <w:tabs>
          <w:tab w:val="left" w:pos="590"/>
        </w:tabs>
        <w:spacing w:before="21" w:after="0" w:line="240" w:lineRule="auto"/>
        <w:ind w:left="589" w:right="0" w:hanging="370"/>
        <w:jc w:val="left"/>
        <w:rPr>
          <w:b/>
          <w:sz w:val="21"/>
        </w:rPr>
      </w:pPr>
      <w:bookmarkStart w:id="0" w:name="1.3底盘要求："/>
      <w:bookmarkEnd w:id="0"/>
      <w:bookmarkStart w:id="1" w:name="1.3底盘要求："/>
      <w:bookmarkEnd w:id="1"/>
      <w:r>
        <w:rPr>
          <w:b/>
          <w:sz w:val="21"/>
        </w:rPr>
        <w:t>底盘要求：</w:t>
      </w:r>
    </w:p>
    <w:p>
      <w:pPr>
        <w:spacing w:before="139"/>
        <w:ind w:left="640" w:right="0" w:firstLine="0"/>
        <w:jc w:val="left"/>
        <w:rPr>
          <w:sz w:val="21"/>
        </w:rPr>
      </w:pPr>
      <w:bookmarkStart w:id="2" w:name="泵站在使用寿命期限内，其底盘额定承载能力应适当大于其实际载荷。"/>
      <w:bookmarkEnd w:id="2"/>
      <w:r>
        <w:rPr>
          <w:sz w:val="21"/>
        </w:rPr>
        <w:t>泵站在使用寿命期限内，其底盘额定承载能力应适当大于其实际载荷。</w:t>
      </w:r>
    </w:p>
    <w:p>
      <w:pPr>
        <w:spacing w:before="142" w:line="364" w:lineRule="auto"/>
        <w:ind w:left="220" w:right="998" w:firstLine="420"/>
        <w:jc w:val="left"/>
        <w:rPr>
          <w:sz w:val="21"/>
        </w:rPr>
      </w:pPr>
      <w:bookmarkStart w:id="3" w:name="①路面：在平整的道路以及坎坷不平的碎石路上行驶为试验里程的60％，柏油或水泥路为"/>
      <w:bookmarkEnd w:id="3"/>
      <w:r>
        <w:rPr>
          <w:sz w:val="21"/>
        </w:rPr>
        <w:t>①路面：在平整的道路以及坎坷不平的碎石路上行驶为试验里程的 60％，柏油或水泥路为试验里程的 40％。</w:t>
      </w:r>
    </w:p>
    <w:p>
      <w:pPr>
        <w:spacing w:before="0" w:line="364" w:lineRule="auto"/>
        <w:ind w:left="220" w:right="1009" w:firstLine="420"/>
        <w:jc w:val="left"/>
        <w:rPr>
          <w:sz w:val="21"/>
        </w:rPr>
      </w:pPr>
      <w:bookmarkStart w:id="4" w:name="②速度：在不平整的土路及坎坷不平的路面上为20km/h以上，在柏油或水泥路面上为"/>
      <w:bookmarkEnd w:id="4"/>
      <w:r>
        <w:rPr>
          <w:spacing w:val="-3"/>
          <w:sz w:val="21"/>
        </w:rPr>
        <w:t xml:space="preserve">②速度：在不平整的土路及坎坷不平的路面上为 </w:t>
      </w:r>
      <w:r>
        <w:rPr>
          <w:sz w:val="21"/>
        </w:rPr>
        <w:t>20km/h</w:t>
      </w:r>
      <w:r>
        <w:rPr>
          <w:spacing w:val="-8"/>
          <w:sz w:val="21"/>
        </w:rPr>
        <w:t xml:space="preserve"> 以上，在柏油或水泥路面上为80km/h</w:t>
      </w:r>
      <w:r>
        <w:rPr>
          <w:spacing w:val="-15"/>
          <w:sz w:val="21"/>
        </w:rPr>
        <w:t xml:space="preserve"> 以上。</w:t>
      </w:r>
    </w:p>
    <w:p>
      <w:pPr>
        <w:spacing w:before="0"/>
        <w:ind w:left="640" w:right="0" w:firstLine="0"/>
        <w:jc w:val="left"/>
        <w:rPr>
          <w:sz w:val="21"/>
        </w:rPr>
      </w:pPr>
      <w:bookmarkStart w:id="5" w:name="③制动力：设备具有可靠的制动装置，使其制动性能分别符合设备的有关规定。"/>
      <w:bookmarkEnd w:id="5"/>
      <w:r>
        <w:rPr>
          <w:sz w:val="21"/>
        </w:rPr>
        <w:t>③制动力：设备具有可靠的制动装置，使其制动性能分别符合设备的有关规定。</w:t>
      </w:r>
    </w:p>
    <w:p>
      <w:pPr>
        <w:pStyle w:val="60"/>
        <w:numPr>
          <w:ilvl w:val="1"/>
          <w:numId w:val="1"/>
        </w:numPr>
        <w:tabs>
          <w:tab w:val="left" w:pos="590"/>
        </w:tabs>
        <w:spacing w:before="137" w:after="0" w:line="240" w:lineRule="auto"/>
        <w:ind w:left="589" w:right="0" w:hanging="370"/>
        <w:jc w:val="left"/>
        <w:rPr>
          <w:b/>
          <w:sz w:val="21"/>
        </w:rPr>
      </w:pPr>
      <w:bookmarkStart w:id="6" w:name="1.4产品工艺要求："/>
      <w:bookmarkEnd w:id="6"/>
      <w:bookmarkStart w:id="7" w:name="1.4产品工艺要求："/>
      <w:bookmarkEnd w:id="7"/>
      <w:r>
        <w:rPr>
          <w:b/>
          <w:sz w:val="21"/>
        </w:rPr>
        <w:t>产品工艺要求：</w:t>
      </w:r>
    </w:p>
    <w:p>
      <w:pPr>
        <w:pStyle w:val="60"/>
        <w:numPr>
          <w:ilvl w:val="2"/>
          <w:numId w:val="1"/>
        </w:numPr>
        <w:tabs>
          <w:tab w:val="left" w:pos="956"/>
        </w:tabs>
        <w:spacing w:before="139" w:after="0" w:line="240" w:lineRule="auto"/>
        <w:ind w:left="955" w:right="0" w:hanging="316"/>
        <w:jc w:val="left"/>
        <w:rPr>
          <w:sz w:val="21"/>
        </w:rPr>
      </w:pPr>
      <w:bookmarkStart w:id="8" w:name="1）外观工艺、检查：表面喷涂均匀、无破损；信号灯、开关、显示装置布局合理。"/>
      <w:bookmarkEnd w:id="8"/>
      <w:bookmarkStart w:id="9" w:name="1）外观工艺、检查：表面喷涂均匀、无破损；信号灯、开关、显示装置布局合理。"/>
      <w:bookmarkEnd w:id="9"/>
      <w:r>
        <w:rPr>
          <w:sz w:val="21"/>
        </w:rPr>
        <w:t>外观工艺、检查：表面喷涂均匀、无破损；信号灯、开关、显示装置布局合理。</w:t>
      </w:r>
    </w:p>
    <w:p>
      <w:pPr>
        <w:pStyle w:val="60"/>
        <w:numPr>
          <w:ilvl w:val="2"/>
          <w:numId w:val="1"/>
        </w:numPr>
        <w:tabs>
          <w:tab w:val="left" w:pos="956"/>
        </w:tabs>
        <w:spacing w:before="139" w:after="0" w:line="367" w:lineRule="auto"/>
        <w:ind w:left="220" w:right="1009" w:firstLine="420"/>
        <w:jc w:val="left"/>
        <w:rPr>
          <w:sz w:val="21"/>
        </w:rPr>
      </w:pPr>
      <w:bookmarkStart w:id="10" w:name="2）结构工艺：所有使用铁质材料均经过酸洗除锈及过油处理，整体全封闭结构，具备防腐"/>
      <w:bookmarkEnd w:id="10"/>
      <w:bookmarkStart w:id="11" w:name="2）结构工艺：所有使用铁质材料均经过酸洗除锈及过油处理，整体全封闭结构，具备防腐"/>
      <w:bookmarkEnd w:id="11"/>
      <w:r>
        <w:rPr>
          <w:sz w:val="21"/>
        </w:rPr>
        <w:t>结构工艺：所有使用铁质材料均经过酸洗除锈及过油处理，整体全封闭结构，具备  防腐蚀、抗冲击、耐磨损、外表美观等特点。</w:t>
      </w:r>
    </w:p>
    <w:p>
      <w:pPr>
        <w:pStyle w:val="60"/>
        <w:numPr>
          <w:ilvl w:val="2"/>
          <w:numId w:val="1"/>
        </w:numPr>
        <w:tabs>
          <w:tab w:val="left" w:pos="956"/>
        </w:tabs>
        <w:spacing w:before="0" w:after="0" w:line="264" w:lineRule="exact"/>
        <w:ind w:left="955" w:right="0" w:hanging="316"/>
        <w:jc w:val="left"/>
        <w:rPr>
          <w:sz w:val="21"/>
        </w:rPr>
      </w:pPr>
      <w:bookmarkStart w:id="12" w:name="3）标牌、标记：应平整清晰，安装牢固。"/>
      <w:bookmarkEnd w:id="12"/>
      <w:bookmarkStart w:id="13" w:name="3）标牌、标记：应平整清晰，安装牢固。"/>
      <w:bookmarkEnd w:id="13"/>
      <w:r>
        <w:rPr>
          <w:sz w:val="21"/>
        </w:rPr>
        <w:t>标牌、标记：应平整清晰，安装牢固。</w:t>
      </w:r>
    </w:p>
    <w:p>
      <w:pPr>
        <w:pStyle w:val="11"/>
        <w:spacing w:before="1"/>
        <w:ind w:left="0" w:firstLine="0"/>
        <w:rPr>
          <w:sz w:val="19"/>
        </w:rPr>
      </w:pPr>
    </w:p>
    <w:p>
      <w:pPr>
        <w:pStyle w:val="60"/>
        <w:numPr>
          <w:ilvl w:val="0"/>
          <w:numId w:val="3"/>
        </w:numPr>
        <w:tabs>
          <w:tab w:val="left" w:pos="628"/>
        </w:tabs>
        <w:spacing w:before="0" w:after="0" w:line="240" w:lineRule="auto"/>
        <w:ind w:left="628" w:right="0" w:hanging="408"/>
        <w:jc w:val="left"/>
        <w:rPr>
          <w:rFonts w:ascii="Calibri" w:hAnsi="Calibri" w:eastAsia="Calibri"/>
          <w:sz w:val="24"/>
          <w:szCs w:val="24"/>
          <w:u w:val="none"/>
        </w:rPr>
      </w:pPr>
      <w:r>
        <w:rPr>
          <w:b/>
          <w:spacing w:val="-1"/>
          <w:sz w:val="24"/>
          <w:szCs w:val="24"/>
          <w:u w:val="none"/>
        </w:rPr>
        <w:t>整机参数及技术要求</w:t>
      </w:r>
    </w:p>
    <w:p>
      <w:pPr>
        <w:pStyle w:val="60"/>
        <w:numPr>
          <w:ilvl w:val="1"/>
          <w:numId w:val="3"/>
        </w:numPr>
        <w:tabs>
          <w:tab w:val="left" w:pos="592"/>
        </w:tabs>
        <w:spacing w:before="130" w:after="0" w:line="240" w:lineRule="auto"/>
        <w:ind w:left="592" w:right="0" w:hanging="372"/>
        <w:jc w:val="left"/>
        <w:rPr>
          <w:rFonts w:hint="eastAsia" w:ascii="宋体" w:hAnsi="宋体" w:eastAsia="宋体" w:cs="宋体"/>
          <w:b/>
          <w:sz w:val="21"/>
          <w:szCs w:val="21"/>
          <w:u w:val="single"/>
        </w:rPr>
      </w:pPr>
      <w:r>
        <w:rPr>
          <w:rFonts w:hint="eastAsia" w:ascii="宋体" w:hAnsi="宋体" w:eastAsia="宋体" w:cs="宋体"/>
          <w:b/>
          <w:sz w:val="21"/>
          <w:szCs w:val="21"/>
          <w:u w:val="single"/>
        </w:rPr>
        <w:t>泵站单元：</w:t>
      </w:r>
    </w:p>
    <w:p>
      <w:pPr>
        <w:pStyle w:val="60"/>
        <w:numPr>
          <w:ilvl w:val="0"/>
          <w:numId w:val="0"/>
        </w:numPr>
        <w:tabs>
          <w:tab w:val="left" w:pos="581"/>
        </w:tabs>
        <w:spacing w:before="23"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1）</w:t>
      </w:r>
      <w:r>
        <w:rPr>
          <w:rFonts w:hint="eastAsia" w:ascii="宋体" w:hAnsi="宋体" w:eastAsia="宋体" w:cs="宋体"/>
          <w:b/>
          <w:bCs/>
          <w:sz w:val="21"/>
          <w:szCs w:val="21"/>
        </w:rPr>
        <w:t>单台水泵额定排水量：≥1000m3/h；</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2）</w:t>
      </w:r>
      <w:r>
        <w:rPr>
          <w:rFonts w:hint="eastAsia" w:ascii="宋体" w:hAnsi="宋体" w:eastAsia="宋体" w:cs="宋体"/>
          <w:sz w:val="21"/>
          <w:szCs w:val="21"/>
        </w:rPr>
        <w:t>单台水泵额定扬程：≥20m</w:t>
      </w:r>
      <w:r>
        <w:rPr>
          <w:rFonts w:hint="eastAsia" w:ascii="宋体" w:hAnsi="宋体" w:eastAsia="宋体" w:cs="宋体"/>
          <w:spacing w:val="-10"/>
          <w:sz w:val="21"/>
          <w:szCs w:val="21"/>
        </w:rPr>
        <w:t xml:space="preserve">；最高扬程 </w:t>
      </w:r>
      <w:r>
        <w:rPr>
          <w:rFonts w:hint="eastAsia" w:ascii="宋体" w:hAnsi="宋体" w:eastAsia="宋体" w:cs="宋体"/>
          <w:sz w:val="21"/>
          <w:szCs w:val="21"/>
        </w:rPr>
        <w:t>40</w:t>
      </w:r>
      <w:r>
        <w:rPr>
          <w:rFonts w:hint="eastAsia" w:ascii="宋体" w:hAnsi="宋体" w:eastAsia="宋体" w:cs="宋体"/>
          <w:spacing w:val="4"/>
          <w:sz w:val="21"/>
          <w:szCs w:val="21"/>
        </w:rPr>
        <w:t xml:space="preserve"> </w:t>
      </w:r>
      <w:r>
        <w:rPr>
          <w:rFonts w:hint="eastAsia" w:ascii="宋体" w:hAnsi="宋体" w:eastAsia="宋体" w:cs="宋体"/>
          <w:sz w:val="21"/>
          <w:szCs w:val="21"/>
        </w:rPr>
        <w:t>米</w:t>
      </w:r>
      <w:r>
        <w:rPr>
          <w:rFonts w:hint="eastAsia" w:ascii="宋体" w:hAnsi="宋体" w:eastAsia="宋体" w:cs="宋体"/>
          <w:sz w:val="21"/>
          <w:szCs w:val="21"/>
          <w:lang w:eastAsia="zh-CN"/>
        </w:rPr>
        <w:t>；</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3）</w:t>
      </w:r>
      <w:r>
        <w:rPr>
          <w:rFonts w:hint="eastAsia" w:ascii="宋体" w:hAnsi="宋体" w:eastAsia="宋体" w:cs="宋体"/>
          <w:b/>
          <w:bCs/>
          <w:sz w:val="21"/>
          <w:szCs w:val="21"/>
        </w:rPr>
        <w:t>水泵进出口口径：DN300-DN200</w:t>
      </w:r>
      <w:r>
        <w:rPr>
          <w:rFonts w:hint="eastAsia" w:ascii="宋体" w:hAnsi="宋体" w:eastAsia="宋体" w:cs="宋体"/>
          <w:b/>
          <w:bCs/>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pacing w:val="-3"/>
          <w:sz w:val="21"/>
          <w:szCs w:val="21"/>
          <w:lang w:val="en-US" w:eastAsia="zh-CN"/>
        </w:rPr>
        <w:t>4）</w:t>
      </w:r>
      <w:r>
        <w:rPr>
          <w:rFonts w:hint="eastAsia" w:ascii="宋体" w:hAnsi="宋体" w:eastAsia="宋体" w:cs="宋体"/>
          <w:spacing w:val="-3"/>
          <w:sz w:val="21"/>
          <w:szCs w:val="21"/>
        </w:rPr>
        <w:t>根据理论管损</w:t>
      </w:r>
      <w:r>
        <w:rPr>
          <w:rFonts w:hint="eastAsia" w:ascii="宋体" w:hAnsi="宋体" w:eastAsia="宋体" w:cs="宋体"/>
          <w:sz w:val="21"/>
          <w:szCs w:val="21"/>
        </w:rPr>
        <w:t>（100</w:t>
      </w:r>
      <w:r>
        <w:rPr>
          <w:rFonts w:hint="eastAsia" w:ascii="宋体" w:hAnsi="宋体" w:eastAsia="宋体" w:cs="宋体"/>
          <w:spacing w:val="4"/>
          <w:sz w:val="21"/>
          <w:szCs w:val="21"/>
        </w:rPr>
        <w:t xml:space="preserve"> </w:t>
      </w:r>
      <w:r>
        <w:rPr>
          <w:rFonts w:hint="eastAsia" w:ascii="宋体" w:hAnsi="宋体" w:eastAsia="宋体" w:cs="宋体"/>
          <w:spacing w:val="-15"/>
          <w:sz w:val="21"/>
          <w:szCs w:val="21"/>
        </w:rPr>
        <w:t xml:space="preserve">米管损 </w:t>
      </w:r>
      <w:r>
        <w:rPr>
          <w:rFonts w:hint="eastAsia" w:ascii="宋体" w:hAnsi="宋体" w:eastAsia="宋体" w:cs="宋体"/>
          <w:sz w:val="21"/>
          <w:szCs w:val="21"/>
        </w:rPr>
        <w:t>1</w:t>
      </w:r>
      <w:r>
        <w:rPr>
          <w:rFonts w:hint="eastAsia" w:ascii="宋体" w:hAnsi="宋体" w:eastAsia="宋体" w:cs="宋体"/>
          <w:spacing w:val="6"/>
          <w:sz w:val="21"/>
          <w:szCs w:val="21"/>
        </w:rPr>
        <w:t xml:space="preserve"> </w:t>
      </w:r>
      <w:r>
        <w:rPr>
          <w:rFonts w:hint="eastAsia" w:ascii="宋体" w:hAnsi="宋体" w:eastAsia="宋体" w:cs="宋体"/>
          <w:sz w:val="21"/>
          <w:szCs w:val="21"/>
        </w:rPr>
        <w:t>米</w:t>
      </w:r>
      <w:r>
        <w:rPr>
          <w:rFonts w:hint="eastAsia" w:ascii="宋体" w:hAnsi="宋体" w:eastAsia="宋体" w:cs="宋体"/>
          <w:spacing w:val="-17"/>
          <w:sz w:val="21"/>
          <w:szCs w:val="21"/>
        </w:rPr>
        <w:t>）</w:t>
      </w:r>
      <w:r>
        <w:rPr>
          <w:rFonts w:hint="eastAsia" w:ascii="宋体" w:hAnsi="宋体" w:eastAsia="宋体" w:cs="宋体"/>
          <w:spacing w:val="-2"/>
          <w:sz w:val="21"/>
          <w:szCs w:val="21"/>
        </w:rPr>
        <w:t>计算出的最远水平排水距离：≥</w:t>
      </w:r>
      <w:r>
        <w:rPr>
          <w:rFonts w:hint="eastAsia" w:ascii="宋体" w:hAnsi="宋体" w:eastAsia="宋体" w:cs="宋体"/>
          <w:spacing w:val="-3"/>
          <w:sz w:val="21"/>
          <w:szCs w:val="21"/>
        </w:rPr>
        <w:t>2000m</w:t>
      </w:r>
      <w:r>
        <w:rPr>
          <w:rFonts w:hint="eastAsia" w:ascii="宋体" w:hAnsi="宋体" w:eastAsia="宋体" w:cs="宋体"/>
          <w:spacing w:val="-3"/>
          <w:sz w:val="21"/>
          <w:szCs w:val="21"/>
          <w:lang w:eastAsia="zh-CN"/>
        </w:rPr>
        <w:t>；</w:t>
      </w:r>
      <w:r>
        <w:rPr>
          <w:rFonts w:hint="eastAsia" w:ascii="宋体" w:hAnsi="宋体" w:eastAsia="宋体" w:cs="宋体"/>
          <w:spacing w:val="16"/>
          <w:sz w:val="21"/>
          <w:szCs w:val="21"/>
        </w:rPr>
        <w:t xml:space="preserve"> </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sz w:val="21"/>
          <w:szCs w:val="21"/>
        </w:rPr>
      </w:pPr>
      <w:r>
        <w:rPr>
          <w:rFonts w:hint="eastAsia" w:cs="宋体"/>
          <w:sz w:val="21"/>
          <w:szCs w:val="21"/>
          <w:lang w:val="en-US" w:eastAsia="zh-CN"/>
        </w:rPr>
        <w:t>5）</w:t>
      </w:r>
      <w:r>
        <w:rPr>
          <w:rFonts w:hint="eastAsia" w:ascii="宋体" w:hAnsi="宋体" w:eastAsia="宋体" w:cs="宋体"/>
          <w:sz w:val="21"/>
          <w:szCs w:val="21"/>
        </w:rPr>
        <w:t>额定点效率：≥50%；（无电作业更安全）</w:t>
      </w:r>
      <w:r>
        <w:rPr>
          <w:rFonts w:hint="eastAsia" w:ascii="宋体" w:hAnsi="宋体" w:eastAsia="宋体" w:cs="宋体"/>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6</w:t>
      </w:r>
      <w:r>
        <w:rPr>
          <w:rFonts w:hint="eastAsia" w:cs="宋体"/>
          <w:sz w:val="21"/>
          <w:szCs w:val="21"/>
          <w:lang w:eastAsia="zh-CN"/>
        </w:rPr>
        <w:t>）</w:t>
      </w:r>
      <w:r>
        <w:rPr>
          <w:rFonts w:hint="eastAsia" w:ascii="宋体" w:hAnsi="宋体" w:eastAsia="宋体" w:cs="宋体"/>
          <w:sz w:val="21"/>
          <w:szCs w:val="21"/>
        </w:rPr>
        <w:t>固体颗粒通过能力（污水）：≥70mm</w:t>
      </w:r>
      <w:r>
        <w:rPr>
          <w:rFonts w:hint="eastAsia" w:ascii="宋体" w:hAnsi="宋体" w:eastAsia="宋体" w:cs="宋体"/>
          <w:sz w:val="21"/>
          <w:szCs w:val="21"/>
          <w:lang w:eastAsia="zh-CN"/>
        </w:rPr>
        <w:t>；</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7）</w:t>
      </w:r>
      <w:r>
        <w:rPr>
          <w:rFonts w:hint="eastAsia" w:ascii="宋体" w:hAnsi="宋体" w:eastAsia="宋体" w:cs="宋体"/>
          <w:b/>
          <w:bCs/>
          <w:sz w:val="21"/>
          <w:szCs w:val="21"/>
        </w:rPr>
        <w:t>隔膜式真空泵，真空泵排气量：≥50CFM</w:t>
      </w:r>
      <w:r>
        <w:rPr>
          <w:rFonts w:hint="eastAsia" w:ascii="宋体" w:hAnsi="宋体" w:eastAsia="宋体" w:cs="宋体"/>
          <w:b/>
          <w:bCs/>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8</w:t>
      </w:r>
      <w:r>
        <w:rPr>
          <w:rFonts w:hint="eastAsia" w:cs="宋体"/>
          <w:sz w:val="21"/>
          <w:szCs w:val="21"/>
          <w:lang w:eastAsia="zh-CN"/>
        </w:rPr>
        <w:t>）</w:t>
      </w:r>
      <w:r>
        <w:rPr>
          <w:rFonts w:hint="eastAsia" w:ascii="宋体" w:hAnsi="宋体" w:eastAsia="宋体" w:cs="宋体"/>
          <w:sz w:val="21"/>
          <w:szCs w:val="21"/>
        </w:rPr>
        <w:t>真空泵最大负压值：≥24inHg(-)</w:t>
      </w:r>
      <w:r>
        <w:rPr>
          <w:rFonts w:hint="eastAsia" w:ascii="宋体" w:hAnsi="宋体" w:eastAsia="宋体" w:cs="宋体"/>
          <w:sz w:val="21"/>
          <w:szCs w:val="21"/>
          <w:lang w:eastAsia="zh-CN"/>
        </w:rPr>
        <w:t>；</w:t>
      </w:r>
    </w:p>
    <w:p>
      <w:pPr>
        <w:pStyle w:val="11"/>
        <w:numPr>
          <w:ilvl w:val="0"/>
          <w:numId w:val="0"/>
        </w:numPr>
        <w:spacing w:before="5"/>
        <w:ind w:left="220" w:leftChars="0" w:right="0" w:rightChars="0"/>
        <w:rPr>
          <w:rFonts w:hint="eastAsia" w:ascii="宋体" w:hAnsi="宋体" w:eastAsia="宋体" w:cs="宋体"/>
          <w:sz w:val="21"/>
          <w:szCs w:val="21"/>
          <w:lang w:eastAsia="zh-CN"/>
        </w:rPr>
      </w:pPr>
      <w:r>
        <w:rPr>
          <w:rFonts w:hint="eastAsia" w:ascii="仿宋" w:hAnsi="仿宋" w:eastAsia="仿宋" w:cs="仿宋"/>
        </w:rPr>
        <w:t>◆</w:t>
      </w:r>
      <w:r>
        <w:rPr>
          <w:rFonts w:hint="eastAsia" w:cs="宋体"/>
          <w:sz w:val="21"/>
          <w:szCs w:val="21"/>
          <w:lang w:val="en-US" w:eastAsia="zh-CN"/>
        </w:rPr>
        <w:t>9</w:t>
      </w:r>
      <w:r>
        <w:rPr>
          <w:rFonts w:hint="eastAsia" w:cs="宋体"/>
          <w:sz w:val="21"/>
          <w:szCs w:val="21"/>
          <w:lang w:eastAsia="zh-CN"/>
        </w:rPr>
        <w:t>）</w:t>
      </w:r>
      <w:r>
        <w:rPr>
          <w:rFonts w:hint="eastAsia" w:ascii="宋体" w:hAnsi="宋体" w:eastAsia="宋体" w:cs="宋体"/>
          <w:sz w:val="21"/>
          <w:szCs w:val="21"/>
        </w:rPr>
        <w:t>震动：≤5mm/s</w:t>
      </w:r>
      <w:r>
        <w:rPr>
          <w:rFonts w:hint="eastAsia" w:ascii="宋体" w:hAnsi="宋体" w:eastAsia="宋体" w:cs="宋体"/>
          <w:sz w:val="21"/>
          <w:szCs w:val="21"/>
          <w:lang w:eastAsia="zh-CN"/>
        </w:rPr>
        <w:t>；</w:t>
      </w:r>
    </w:p>
    <w:p>
      <w:pPr>
        <w:pStyle w:val="11"/>
        <w:numPr>
          <w:ilvl w:val="0"/>
          <w:numId w:val="0"/>
        </w:numPr>
        <w:spacing w:before="5"/>
        <w:ind w:left="220" w:leftChars="0" w:right="0" w:rightChars="0"/>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10）</w:t>
      </w:r>
      <w:r>
        <w:rPr>
          <w:rFonts w:hint="eastAsia" w:ascii="宋体" w:hAnsi="宋体" w:eastAsia="宋体" w:cs="宋体"/>
          <w:sz w:val="21"/>
          <w:szCs w:val="21"/>
        </w:rPr>
        <w:t>噪音：≤85dB（A）；</w:t>
      </w:r>
    </w:p>
    <w:p>
      <w:pPr>
        <w:pStyle w:val="60"/>
        <w:numPr>
          <w:ilvl w:val="0"/>
          <w:numId w:val="0"/>
        </w:numPr>
        <w:tabs>
          <w:tab w:val="left" w:pos="704"/>
        </w:tabs>
        <w:spacing w:before="5" w:after="0" w:line="240" w:lineRule="auto"/>
        <w:ind w:left="219" w:leftChars="0" w:right="0" w:rightChars="0"/>
        <w:jc w:val="left"/>
        <w:rPr>
          <w:rFonts w:hint="eastAsia" w:ascii="宋体" w:hAnsi="宋体" w:eastAsia="宋体" w:cs="宋体"/>
          <w:sz w:val="21"/>
          <w:szCs w:val="21"/>
        </w:rPr>
      </w:pPr>
      <w:r>
        <w:rPr>
          <w:rFonts w:hint="eastAsia" w:cs="宋体"/>
          <w:spacing w:val="-13"/>
          <w:sz w:val="21"/>
          <w:szCs w:val="21"/>
          <w:lang w:val="en-US" w:eastAsia="zh-CN"/>
        </w:rPr>
        <w:t>11）</w:t>
      </w:r>
      <w:r>
        <w:rPr>
          <w:rFonts w:hint="eastAsia" w:ascii="宋体" w:hAnsi="宋体" w:eastAsia="宋体" w:cs="宋体"/>
          <w:spacing w:val="-13"/>
          <w:sz w:val="21"/>
          <w:szCs w:val="21"/>
        </w:rPr>
        <w:t xml:space="preserve">干转保护系统：水泵配置无水干转保护系统，可 </w:t>
      </w:r>
      <w:r>
        <w:rPr>
          <w:rFonts w:hint="eastAsia" w:ascii="宋体" w:hAnsi="宋体" w:eastAsia="宋体" w:cs="宋体"/>
          <w:sz w:val="21"/>
          <w:szCs w:val="21"/>
        </w:rPr>
        <w:t>24</w:t>
      </w:r>
      <w:r>
        <w:rPr>
          <w:rFonts w:hint="eastAsia" w:ascii="宋体" w:hAnsi="宋体" w:eastAsia="宋体" w:cs="宋体"/>
          <w:spacing w:val="6"/>
          <w:sz w:val="21"/>
          <w:szCs w:val="21"/>
        </w:rPr>
        <w:t xml:space="preserve"> </w:t>
      </w:r>
      <w:r>
        <w:rPr>
          <w:rFonts w:hint="eastAsia" w:ascii="宋体" w:hAnsi="宋体" w:eastAsia="宋体" w:cs="宋体"/>
          <w:spacing w:val="-5"/>
          <w:sz w:val="21"/>
          <w:szCs w:val="21"/>
        </w:rPr>
        <w:t>小时无水干转；</w:t>
      </w:r>
    </w:p>
    <w:p>
      <w:pPr>
        <w:pStyle w:val="60"/>
        <w:numPr>
          <w:ilvl w:val="0"/>
          <w:numId w:val="0"/>
        </w:numPr>
        <w:tabs>
          <w:tab w:val="left" w:pos="704"/>
        </w:tabs>
        <w:spacing w:before="4" w:after="0" w:line="242" w:lineRule="auto"/>
        <w:ind w:left="220" w:leftChars="0" w:right="997" w:rightChars="0"/>
        <w:jc w:val="left"/>
        <w:rPr>
          <w:rFonts w:hint="eastAsia" w:ascii="宋体" w:hAnsi="宋体" w:eastAsia="宋体" w:cs="宋体"/>
          <w:sz w:val="21"/>
          <w:szCs w:val="21"/>
        </w:rPr>
      </w:pPr>
      <w:r>
        <w:rPr>
          <w:rFonts w:hint="eastAsia" w:cs="宋体"/>
          <w:sz w:val="21"/>
          <w:szCs w:val="21"/>
          <w:lang w:val="en-US" w:eastAsia="zh-CN"/>
        </w:rPr>
        <w:t>12）</w:t>
      </w:r>
      <w:r>
        <w:rPr>
          <w:rFonts w:hint="eastAsia" w:ascii="宋体" w:hAnsi="宋体" w:eastAsia="宋体" w:cs="宋体"/>
          <w:sz w:val="21"/>
          <w:szCs w:val="21"/>
        </w:rPr>
        <w:t>自清理功能：水泵具备自清理结构，避免机封因固体颗粒聚集卡滞；</w:t>
      </w:r>
    </w:p>
    <w:p>
      <w:pPr>
        <w:pStyle w:val="60"/>
        <w:numPr>
          <w:ilvl w:val="0"/>
          <w:numId w:val="0"/>
        </w:numPr>
        <w:tabs>
          <w:tab w:val="left" w:pos="704"/>
        </w:tabs>
        <w:spacing w:before="3" w:after="0" w:line="240" w:lineRule="auto"/>
        <w:ind w:left="219" w:leftChars="0" w:right="0" w:rightChars="0"/>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w:t>
      </w:r>
      <w:r>
        <w:rPr>
          <w:rFonts w:hint="eastAsia" w:cs="宋体"/>
          <w:b/>
          <w:bCs/>
          <w:sz w:val="21"/>
          <w:szCs w:val="21"/>
          <w:highlight w:val="none"/>
          <w:lang w:val="en-US" w:eastAsia="zh-CN"/>
        </w:rPr>
        <w:t>13）</w:t>
      </w:r>
      <w:r>
        <w:rPr>
          <w:rFonts w:hint="eastAsia" w:ascii="宋体" w:hAnsi="宋体" w:eastAsia="宋体" w:cs="宋体"/>
          <w:b/>
          <w:bCs/>
          <w:sz w:val="21"/>
          <w:szCs w:val="21"/>
          <w:highlight w:val="none"/>
        </w:rPr>
        <w:t>传动方式：采用橡胶高弹性齿圈联轴器直联传动；</w:t>
      </w:r>
    </w:p>
    <w:p>
      <w:pPr>
        <w:pStyle w:val="60"/>
        <w:numPr>
          <w:ilvl w:val="0"/>
          <w:numId w:val="0"/>
        </w:numPr>
        <w:tabs>
          <w:tab w:val="left" w:pos="704"/>
        </w:tabs>
        <w:spacing w:before="4" w:after="0" w:line="240" w:lineRule="auto"/>
        <w:ind w:left="219"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pacing w:val="-8"/>
          <w:sz w:val="21"/>
          <w:szCs w:val="21"/>
          <w:lang w:val="en-US" w:eastAsia="zh-CN"/>
        </w:rPr>
        <w:t>14）</w:t>
      </w:r>
      <w:r>
        <w:rPr>
          <w:rFonts w:hint="eastAsia" w:ascii="宋体" w:hAnsi="宋体" w:eastAsia="宋体" w:cs="宋体"/>
          <w:spacing w:val="-8"/>
          <w:sz w:val="21"/>
          <w:szCs w:val="21"/>
        </w:rPr>
        <w:t>水泵驱动方式：采用机械传动，不直接接触水源，无带电作业安全隐患；</w:t>
      </w:r>
    </w:p>
    <w:p>
      <w:pPr>
        <w:pStyle w:val="60"/>
        <w:numPr>
          <w:ilvl w:val="0"/>
          <w:numId w:val="0"/>
        </w:numPr>
        <w:tabs>
          <w:tab w:val="left" w:pos="704"/>
        </w:tabs>
        <w:spacing w:before="5" w:after="0" w:line="240" w:lineRule="auto"/>
        <w:ind w:left="219"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15）</w:t>
      </w:r>
      <w:r>
        <w:rPr>
          <w:rFonts w:hint="eastAsia" w:ascii="宋体" w:hAnsi="宋体" w:eastAsia="宋体" w:cs="宋体"/>
          <w:sz w:val="21"/>
          <w:szCs w:val="21"/>
        </w:rPr>
        <w:t>水泵工作方式：依靠自身吸水功能，通过进水管吸水，出水管排水；</w:t>
      </w:r>
    </w:p>
    <w:p>
      <w:pPr>
        <w:pStyle w:val="60"/>
        <w:numPr>
          <w:ilvl w:val="0"/>
          <w:numId w:val="0"/>
        </w:numPr>
        <w:tabs>
          <w:tab w:val="left" w:pos="704"/>
        </w:tabs>
        <w:spacing w:before="4" w:after="0" w:line="242" w:lineRule="auto"/>
        <w:ind w:left="220" w:leftChars="0" w:right="997" w:rightChars="0"/>
        <w:jc w:val="left"/>
        <w:rPr>
          <w:rFonts w:hint="eastAsia" w:ascii="宋体" w:hAnsi="宋体" w:eastAsia="宋体" w:cs="宋体"/>
          <w:b w:val="0"/>
          <w:bCs/>
          <w:sz w:val="21"/>
          <w:szCs w:val="21"/>
          <w:u w:val="none"/>
          <w:lang w:eastAsia="zh-CN"/>
        </w:rPr>
      </w:pPr>
      <w:r>
        <w:rPr>
          <w:rFonts w:hint="eastAsia" w:cs="宋体"/>
          <w:b w:val="0"/>
          <w:bCs/>
          <w:sz w:val="21"/>
          <w:szCs w:val="21"/>
          <w:u w:val="none"/>
          <w:lang w:val="en-US" w:eastAsia="zh-CN"/>
        </w:rPr>
        <w:t>16）</w:t>
      </w:r>
      <w:r>
        <w:rPr>
          <w:rFonts w:hint="eastAsia" w:ascii="宋体" w:hAnsi="宋体" w:eastAsia="宋体" w:cs="宋体"/>
          <w:b w:val="0"/>
          <w:bCs/>
          <w:sz w:val="21"/>
          <w:szCs w:val="21"/>
          <w:u w:val="none"/>
        </w:rPr>
        <w:t>水泵材质要求</w:t>
      </w:r>
      <w:r>
        <w:rPr>
          <w:rFonts w:hint="eastAsia" w:cs="宋体"/>
          <w:b w:val="0"/>
          <w:bCs/>
          <w:sz w:val="21"/>
          <w:szCs w:val="21"/>
          <w:u w:val="none"/>
          <w:lang w:eastAsia="zh-CN"/>
        </w:rPr>
        <w:t>：</w:t>
      </w:r>
    </w:p>
    <w:p>
      <w:pPr>
        <w:pStyle w:val="60"/>
        <w:numPr>
          <w:ilvl w:val="0"/>
          <w:numId w:val="0"/>
        </w:numPr>
        <w:tabs>
          <w:tab w:val="left" w:pos="701"/>
        </w:tabs>
        <w:spacing w:before="5" w:after="0" w:line="240" w:lineRule="auto"/>
        <w:ind w:left="340" w:leftChars="0" w:right="0" w:rightChars="0"/>
        <w:jc w:val="left"/>
        <w:rPr>
          <w:rFonts w:hint="eastAsia" w:ascii="宋体" w:hAnsi="宋体" w:eastAsia="宋体" w:cs="宋体"/>
          <w:sz w:val="21"/>
          <w:szCs w:val="21"/>
          <w:lang w:eastAsia="zh-CN"/>
        </w:rPr>
      </w:pPr>
      <w:r>
        <w:rPr>
          <w:rFonts w:hint="eastAsia" w:ascii="宋体" w:hAnsi="宋体" w:eastAsia="宋体" w:cs="宋体"/>
          <w:sz w:val="21"/>
          <w:szCs w:val="21"/>
        </w:rPr>
        <w:t>泵体、泵盖：铸铁</w:t>
      </w:r>
      <w:r>
        <w:rPr>
          <w:rFonts w:hint="eastAsia" w:cs="宋体"/>
          <w:sz w:val="21"/>
          <w:szCs w:val="21"/>
          <w:lang w:eastAsia="zh-CN"/>
        </w:rPr>
        <w:t>；</w:t>
      </w:r>
    </w:p>
    <w:p>
      <w:pPr>
        <w:pStyle w:val="60"/>
        <w:numPr>
          <w:ilvl w:val="0"/>
          <w:numId w:val="0"/>
        </w:numPr>
        <w:tabs>
          <w:tab w:val="left" w:pos="701"/>
        </w:tabs>
        <w:spacing w:before="4"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pacing w:val="-9"/>
          <w:sz w:val="21"/>
          <w:szCs w:val="21"/>
        </w:rPr>
        <w:t xml:space="preserve">叶轮：不锈钢 </w:t>
      </w:r>
      <w:r>
        <w:rPr>
          <w:rFonts w:hint="eastAsia" w:ascii="宋体" w:hAnsi="宋体" w:eastAsia="宋体" w:cs="宋体"/>
          <w:sz w:val="21"/>
          <w:szCs w:val="21"/>
        </w:rPr>
        <w:t>304；</w:t>
      </w:r>
    </w:p>
    <w:p>
      <w:pPr>
        <w:pStyle w:val="60"/>
        <w:numPr>
          <w:ilvl w:val="0"/>
          <w:numId w:val="0"/>
        </w:numPr>
        <w:tabs>
          <w:tab w:val="left" w:pos="701"/>
        </w:tabs>
        <w:spacing w:before="5"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pacing w:val="-11"/>
          <w:sz w:val="21"/>
          <w:szCs w:val="21"/>
        </w:rPr>
        <w:t xml:space="preserve">轴：不锈钢 </w:t>
      </w:r>
      <w:r>
        <w:rPr>
          <w:rFonts w:hint="eastAsia" w:ascii="宋体" w:hAnsi="宋体" w:eastAsia="宋体" w:cs="宋体"/>
          <w:sz w:val="21"/>
          <w:szCs w:val="21"/>
        </w:rPr>
        <w:t>17-4PH；</w:t>
      </w:r>
    </w:p>
    <w:p>
      <w:pPr>
        <w:pStyle w:val="60"/>
        <w:numPr>
          <w:ilvl w:val="0"/>
          <w:numId w:val="0"/>
        </w:numPr>
        <w:tabs>
          <w:tab w:val="left" w:pos="701"/>
        </w:tabs>
        <w:spacing w:before="4"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z w:val="21"/>
          <w:szCs w:val="21"/>
        </w:rPr>
        <w:t>机械密封：碳化钨硬质合金。</w:t>
      </w:r>
    </w:p>
    <w:p>
      <w:pPr>
        <w:pStyle w:val="61"/>
        <w:widowControl/>
        <w:tabs>
          <w:tab w:val="left" w:pos="701"/>
        </w:tabs>
        <w:snapToGrid w:val="0"/>
        <w:spacing w:before="4" w:beforeAutospacing="0" w:after="0" w:afterAutospacing="0" w:line="240" w:lineRule="auto"/>
        <w:ind w:left="0" w:leftChars="0" w:right="0" w:firstLine="420" w:firstLineChars="200"/>
        <w:jc w:val="left"/>
        <w:textAlignment w:val="baseline"/>
        <w:rPr>
          <w:rStyle w:val="62"/>
          <w:rFonts w:ascii="宋体" w:hAnsi="宋体" w:eastAsia="宋体"/>
          <w:b w:val="0"/>
          <w:i w:val="0"/>
          <w:caps w:val="0"/>
          <w:color w:val="auto"/>
          <w:spacing w:val="0"/>
          <w:w w:val="100"/>
          <w:sz w:val="21"/>
          <w:szCs w:val="21"/>
          <w:highlight w:val="none"/>
          <w:lang w:val="zh-CN" w:eastAsia="zh-CN" w:bidi="zh-CN"/>
        </w:rPr>
      </w:pPr>
      <w:r>
        <w:rPr>
          <w:rStyle w:val="62"/>
          <w:rFonts w:ascii="宋体" w:hAnsi="宋体" w:eastAsia="宋体"/>
          <w:b w:val="0"/>
          <w:i w:val="0"/>
          <w:caps w:val="0"/>
          <w:color w:val="auto"/>
          <w:spacing w:val="0"/>
          <w:w w:val="100"/>
          <w:sz w:val="21"/>
          <w:szCs w:val="21"/>
          <w:highlight w:val="none"/>
          <w:lang w:val="zh-CN" w:eastAsia="zh-CN" w:bidi="zh-CN"/>
        </w:rPr>
        <w:t>*17）水泵与移动式排水泵站整机为同一</w:t>
      </w:r>
      <w:r>
        <w:rPr>
          <w:rStyle w:val="62"/>
          <w:rFonts w:hint="eastAsia"/>
          <w:b w:val="0"/>
          <w:i w:val="0"/>
          <w:caps w:val="0"/>
          <w:color w:val="auto"/>
          <w:spacing w:val="0"/>
          <w:w w:val="100"/>
          <w:sz w:val="21"/>
          <w:szCs w:val="21"/>
          <w:highlight w:val="none"/>
          <w:lang w:val="en-US" w:eastAsia="zh-CN" w:bidi="zh-CN"/>
        </w:rPr>
        <w:t>生产厂家</w:t>
      </w:r>
      <w:r>
        <w:rPr>
          <w:rStyle w:val="62"/>
          <w:rFonts w:ascii="宋体" w:hAnsi="宋体" w:eastAsia="宋体"/>
          <w:b w:val="0"/>
          <w:i w:val="0"/>
          <w:caps w:val="0"/>
          <w:color w:val="auto"/>
          <w:spacing w:val="0"/>
          <w:w w:val="100"/>
          <w:sz w:val="21"/>
          <w:szCs w:val="21"/>
          <w:highlight w:val="none"/>
          <w:lang w:val="zh-CN" w:eastAsia="zh-CN" w:bidi="zh-CN"/>
        </w:rPr>
        <w:t>。</w:t>
      </w:r>
    </w:p>
    <w:p>
      <w:pPr>
        <w:pStyle w:val="60"/>
        <w:numPr>
          <w:ilvl w:val="0"/>
          <w:numId w:val="0"/>
        </w:numPr>
        <w:tabs>
          <w:tab w:val="left" w:pos="704"/>
        </w:tabs>
        <w:spacing w:before="4" w:after="0" w:line="242" w:lineRule="auto"/>
        <w:ind w:right="997" w:rightChars="0" w:firstLine="211" w:firstLineChars="100"/>
        <w:jc w:val="left"/>
        <w:rPr>
          <w:rFonts w:hint="eastAsia" w:ascii="宋体" w:hAnsi="宋体" w:eastAsia="宋体" w:cs="宋体"/>
          <w:b/>
          <w:sz w:val="21"/>
          <w:szCs w:val="21"/>
          <w:u w:val="single"/>
        </w:rPr>
      </w:pPr>
      <w:r>
        <w:rPr>
          <w:rFonts w:hint="eastAsia" w:ascii="宋体" w:hAnsi="宋体" w:eastAsia="宋体" w:cs="宋体"/>
          <w:b/>
          <w:sz w:val="21"/>
          <w:szCs w:val="21"/>
          <w:u w:val="single"/>
          <w:lang w:val="en-US" w:eastAsia="zh-CN"/>
        </w:rPr>
        <w:t>2.2</w:t>
      </w:r>
      <w:r>
        <w:rPr>
          <w:rFonts w:hint="eastAsia" w:ascii="宋体" w:hAnsi="宋体" w:eastAsia="宋体" w:cs="宋体"/>
          <w:b/>
          <w:sz w:val="21"/>
          <w:szCs w:val="21"/>
          <w:u w:val="single"/>
        </w:rPr>
        <w:t>发动机技术参数</w:t>
      </w:r>
    </w:p>
    <w:p>
      <w:pPr>
        <w:pStyle w:val="60"/>
        <w:numPr>
          <w:ilvl w:val="0"/>
          <w:numId w:val="4"/>
        </w:numPr>
        <w:tabs>
          <w:tab w:val="left" w:pos="701"/>
        </w:tabs>
        <w:spacing w:before="4" w:after="0" w:line="240" w:lineRule="auto"/>
        <w:ind w:left="701" w:right="0" w:hanging="361"/>
        <w:jc w:val="left"/>
        <w:rPr>
          <w:sz w:val="21"/>
          <w:szCs w:val="21"/>
        </w:rPr>
      </w:pPr>
      <w:r>
        <w:rPr>
          <w:sz w:val="21"/>
          <w:szCs w:val="21"/>
        </w:rPr>
        <w:t>柴油机品牌：</w:t>
      </w:r>
      <w:r>
        <w:rPr>
          <w:sz w:val="21"/>
          <w:szCs w:val="21"/>
          <w:highlight w:val="yellow"/>
        </w:rPr>
        <w:t>国内知名品牌；</w:t>
      </w:r>
    </w:p>
    <w:p>
      <w:pPr>
        <w:pStyle w:val="60"/>
        <w:numPr>
          <w:ilvl w:val="0"/>
          <w:numId w:val="4"/>
        </w:numPr>
        <w:tabs>
          <w:tab w:val="left" w:pos="701"/>
        </w:tabs>
        <w:spacing w:before="5" w:after="0" w:line="240" w:lineRule="auto"/>
        <w:ind w:left="701" w:right="0" w:hanging="361"/>
        <w:jc w:val="left"/>
        <w:rPr>
          <w:sz w:val="21"/>
          <w:szCs w:val="21"/>
        </w:rPr>
      </w:pPr>
      <w:r>
        <w:rPr>
          <w:sz w:val="21"/>
          <w:szCs w:val="21"/>
        </w:rPr>
        <w:t>动力形式：四冲程，水冷，直列，涡轮式；</w:t>
      </w:r>
    </w:p>
    <w:p>
      <w:pPr>
        <w:pStyle w:val="60"/>
        <w:numPr>
          <w:ilvl w:val="0"/>
          <w:numId w:val="4"/>
        </w:numPr>
        <w:tabs>
          <w:tab w:val="left" w:pos="701"/>
        </w:tabs>
        <w:spacing w:before="4" w:after="0" w:line="240" w:lineRule="auto"/>
        <w:ind w:left="701" w:right="0" w:hanging="361"/>
        <w:jc w:val="left"/>
        <w:rPr>
          <w:rFonts w:ascii="Calibri" w:hAnsi="Calibri" w:eastAsia="Calibri"/>
          <w:sz w:val="21"/>
          <w:szCs w:val="21"/>
        </w:rPr>
      </w:pPr>
      <w:r>
        <w:rPr>
          <w:spacing w:val="-1"/>
          <w:sz w:val="21"/>
          <w:szCs w:val="21"/>
        </w:rPr>
        <w:t>发动机功率：≥</w:t>
      </w:r>
      <w:r>
        <w:rPr>
          <w:rFonts w:ascii="Calibri" w:hAnsi="Calibri" w:eastAsia="Calibri"/>
          <w:spacing w:val="-3"/>
          <w:sz w:val="21"/>
          <w:szCs w:val="21"/>
        </w:rPr>
        <w:t>50KW;</w:t>
      </w:r>
    </w:p>
    <w:p>
      <w:pPr>
        <w:pStyle w:val="60"/>
        <w:numPr>
          <w:ilvl w:val="0"/>
          <w:numId w:val="4"/>
        </w:numPr>
        <w:tabs>
          <w:tab w:val="left" w:pos="701"/>
        </w:tabs>
        <w:spacing w:before="5" w:after="0" w:line="240" w:lineRule="auto"/>
        <w:ind w:left="701" w:right="0" w:hanging="361"/>
        <w:jc w:val="left"/>
        <w:rPr>
          <w:sz w:val="21"/>
          <w:szCs w:val="21"/>
        </w:rPr>
      </w:pPr>
      <w:r>
        <w:rPr>
          <w:sz w:val="21"/>
          <w:szCs w:val="21"/>
        </w:rPr>
        <w:t>吸气方式：涡轮增压中冷；</w:t>
      </w:r>
    </w:p>
    <w:p>
      <w:pPr>
        <w:pStyle w:val="60"/>
        <w:numPr>
          <w:ilvl w:val="0"/>
          <w:numId w:val="4"/>
        </w:numPr>
        <w:tabs>
          <w:tab w:val="left" w:pos="701"/>
        </w:tabs>
        <w:spacing w:before="4" w:after="0" w:line="240" w:lineRule="auto"/>
        <w:ind w:left="701" w:right="0" w:hanging="361"/>
        <w:jc w:val="left"/>
        <w:rPr>
          <w:sz w:val="21"/>
          <w:szCs w:val="21"/>
        </w:rPr>
      </w:pPr>
      <w:r>
        <w:rPr>
          <w:spacing w:val="-10"/>
          <w:sz w:val="21"/>
          <w:szCs w:val="21"/>
        </w:rPr>
        <w:t xml:space="preserve">缸数：直列 </w:t>
      </w:r>
      <w:r>
        <w:rPr>
          <w:rFonts w:ascii="Calibri" w:eastAsia="Calibri"/>
          <w:sz w:val="21"/>
          <w:szCs w:val="21"/>
        </w:rPr>
        <w:t>4</w:t>
      </w:r>
      <w:r>
        <w:rPr>
          <w:rFonts w:ascii="Calibri" w:eastAsia="Calibri"/>
          <w:spacing w:val="6"/>
          <w:sz w:val="21"/>
          <w:szCs w:val="21"/>
        </w:rPr>
        <w:t xml:space="preserve"> </w:t>
      </w:r>
      <w:r>
        <w:rPr>
          <w:sz w:val="21"/>
          <w:szCs w:val="21"/>
        </w:rPr>
        <w:t>缸、水冷；</w:t>
      </w:r>
    </w:p>
    <w:p>
      <w:pPr>
        <w:pStyle w:val="60"/>
        <w:numPr>
          <w:ilvl w:val="0"/>
          <w:numId w:val="4"/>
        </w:numPr>
        <w:tabs>
          <w:tab w:val="left" w:pos="701"/>
        </w:tabs>
        <w:spacing w:before="5" w:after="0" w:line="240" w:lineRule="auto"/>
        <w:ind w:left="701" w:right="0" w:hanging="361"/>
        <w:jc w:val="left"/>
        <w:rPr>
          <w:sz w:val="21"/>
          <w:szCs w:val="21"/>
        </w:rPr>
      </w:pPr>
      <w:r>
        <w:rPr>
          <w:sz w:val="21"/>
          <w:szCs w:val="21"/>
        </w:rPr>
        <w:t>控制系统：智能控制器；</w:t>
      </w:r>
    </w:p>
    <w:p>
      <w:pPr>
        <w:pStyle w:val="60"/>
        <w:numPr>
          <w:ilvl w:val="0"/>
          <w:numId w:val="4"/>
        </w:numPr>
        <w:tabs>
          <w:tab w:val="left" w:pos="701"/>
        </w:tabs>
        <w:spacing w:before="4" w:after="0" w:line="240" w:lineRule="auto"/>
        <w:ind w:left="701" w:right="0" w:hanging="361"/>
        <w:jc w:val="left"/>
        <w:rPr>
          <w:rFonts w:ascii="Calibri" w:eastAsia="Calibri"/>
          <w:sz w:val="21"/>
          <w:szCs w:val="21"/>
        </w:rPr>
      </w:pPr>
      <w:r>
        <w:rPr>
          <w:sz w:val="21"/>
          <w:szCs w:val="21"/>
        </w:rPr>
        <w:t>最高转速：</w:t>
      </w:r>
      <w:r>
        <w:rPr>
          <w:rFonts w:ascii="Calibri" w:eastAsia="Calibri"/>
          <w:sz w:val="21"/>
          <w:szCs w:val="21"/>
        </w:rPr>
        <w:t>2200r/min;</w:t>
      </w:r>
    </w:p>
    <w:p>
      <w:pPr>
        <w:pStyle w:val="60"/>
        <w:numPr>
          <w:ilvl w:val="0"/>
          <w:numId w:val="4"/>
        </w:numPr>
        <w:tabs>
          <w:tab w:val="left" w:pos="701"/>
        </w:tabs>
        <w:spacing w:before="4" w:after="0" w:line="240" w:lineRule="auto"/>
        <w:ind w:left="701" w:right="0" w:hanging="361"/>
        <w:jc w:val="left"/>
        <w:rPr>
          <w:sz w:val="21"/>
          <w:szCs w:val="21"/>
        </w:rPr>
      </w:pPr>
      <w:r>
        <w:rPr>
          <w:sz w:val="21"/>
          <w:szCs w:val="21"/>
        </w:rPr>
        <w:t>冷却方式：风扇水循环冷却</w:t>
      </w:r>
      <w:r>
        <w:rPr>
          <w:rFonts w:hint="eastAsia"/>
          <w:sz w:val="21"/>
          <w:szCs w:val="21"/>
          <w:lang w:eastAsia="zh-CN"/>
        </w:rPr>
        <w:t>；</w:t>
      </w:r>
    </w:p>
    <w:p>
      <w:pPr>
        <w:pStyle w:val="60"/>
        <w:numPr>
          <w:ilvl w:val="0"/>
          <w:numId w:val="0"/>
        </w:numPr>
        <w:tabs>
          <w:tab w:val="left" w:pos="701"/>
        </w:tabs>
        <w:spacing w:before="5" w:after="0" w:line="240" w:lineRule="auto"/>
        <w:ind w:left="340" w:leftChars="0" w:right="0" w:rightChars="0"/>
        <w:jc w:val="left"/>
        <w:rPr>
          <w:rFonts w:hint="eastAsia" w:eastAsia="宋体"/>
          <w:sz w:val="21"/>
          <w:szCs w:val="21"/>
          <w:lang w:eastAsia="zh-CN"/>
        </w:rPr>
      </w:pPr>
      <w:r>
        <w:rPr>
          <w:rFonts w:ascii="Calibri" w:eastAsia="Calibri"/>
          <w:sz w:val="21"/>
          <w:szCs w:val="21"/>
        </w:rPr>
        <w:t>9</w:t>
      </w:r>
      <w:r>
        <w:rPr>
          <w:sz w:val="21"/>
          <w:szCs w:val="21"/>
        </w:rPr>
        <w:t>）非道路柴油机环保证明</w:t>
      </w:r>
      <w:r>
        <w:rPr>
          <w:rFonts w:hint="eastAsia"/>
          <w:sz w:val="21"/>
          <w:szCs w:val="21"/>
          <w:lang w:eastAsia="zh-CN"/>
        </w:rPr>
        <w:t>。</w:t>
      </w:r>
    </w:p>
    <w:p>
      <w:pPr>
        <w:numPr>
          <w:ilvl w:val="0"/>
          <w:numId w:val="0"/>
        </w:numPr>
        <w:tabs>
          <w:tab w:val="left" w:pos="588"/>
        </w:tabs>
        <w:spacing w:before="5" w:after="0" w:line="240" w:lineRule="auto"/>
        <w:ind w:left="219" w:leftChars="0" w:right="0" w:rightChars="0"/>
        <w:jc w:val="left"/>
        <w:outlineLvl w:val="9"/>
        <w:rPr>
          <w:rFonts w:hint="eastAsia" w:ascii="宋体" w:hAnsi="宋体" w:eastAsia="宋体" w:cs="宋体"/>
          <w:b/>
          <w:bCs/>
          <w:sz w:val="21"/>
          <w:szCs w:val="21"/>
          <w:u w:val="single"/>
        </w:rPr>
      </w:pPr>
      <w:r>
        <w:rPr>
          <w:rFonts w:hint="eastAsia" w:ascii="宋体" w:hAnsi="宋体" w:eastAsia="宋体" w:cs="宋体"/>
          <w:b/>
          <w:bCs/>
          <w:sz w:val="21"/>
          <w:szCs w:val="21"/>
          <w:u w:val="single"/>
          <w:lang w:val="en-US" w:eastAsia="zh-CN"/>
        </w:rPr>
        <w:t>2.3</w:t>
      </w:r>
      <w:r>
        <w:rPr>
          <w:rFonts w:hint="eastAsia" w:ascii="宋体" w:hAnsi="宋体" w:eastAsia="宋体" w:cs="宋体"/>
          <w:b/>
          <w:bCs/>
          <w:sz w:val="21"/>
          <w:szCs w:val="21"/>
          <w:u w:val="single"/>
        </w:rPr>
        <w:t>移动拖车要求：</w:t>
      </w:r>
    </w:p>
    <w:p>
      <w:pPr>
        <w:pStyle w:val="60"/>
        <w:numPr>
          <w:ilvl w:val="2"/>
          <w:numId w:val="3"/>
        </w:numPr>
        <w:tabs>
          <w:tab w:val="left" w:pos="701"/>
        </w:tabs>
        <w:spacing w:before="4"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拖车：低重心扭力轴拖车，单轴结构，额定负载≥3500KG；</w:t>
      </w:r>
    </w:p>
    <w:p>
      <w:pPr>
        <w:pStyle w:val="60"/>
        <w:numPr>
          <w:ilvl w:val="2"/>
          <w:numId w:val="3"/>
        </w:numPr>
        <w:tabs>
          <w:tab w:val="left" w:pos="701"/>
        </w:tabs>
        <w:spacing w:before="5"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油箱：内置式一体化油箱，油箱容积≥180L,</w:t>
      </w:r>
      <w:r>
        <w:rPr>
          <w:rFonts w:hint="eastAsia" w:ascii="宋体" w:hAnsi="宋体" w:eastAsia="宋体" w:cs="宋体"/>
          <w:spacing w:val="-21"/>
          <w:sz w:val="21"/>
          <w:szCs w:val="21"/>
        </w:rPr>
        <w:t xml:space="preserve">满足 </w:t>
      </w:r>
      <w:r>
        <w:rPr>
          <w:rFonts w:hint="eastAsia" w:ascii="宋体" w:hAnsi="宋体" w:eastAsia="宋体" w:cs="宋体"/>
          <w:sz w:val="21"/>
          <w:szCs w:val="21"/>
        </w:rPr>
        <w:t>10</w:t>
      </w:r>
      <w:r>
        <w:rPr>
          <w:rFonts w:hint="eastAsia" w:ascii="宋体" w:hAnsi="宋体" w:eastAsia="宋体" w:cs="宋体"/>
          <w:spacing w:val="6"/>
          <w:sz w:val="21"/>
          <w:szCs w:val="21"/>
        </w:rPr>
        <w:t xml:space="preserve"> </w:t>
      </w:r>
      <w:r>
        <w:rPr>
          <w:rFonts w:hint="eastAsia" w:ascii="宋体" w:hAnsi="宋体" w:eastAsia="宋体" w:cs="宋体"/>
          <w:sz w:val="21"/>
          <w:szCs w:val="21"/>
        </w:rPr>
        <w:t>小时连续运行；</w:t>
      </w:r>
    </w:p>
    <w:p>
      <w:pPr>
        <w:pStyle w:val="60"/>
        <w:numPr>
          <w:ilvl w:val="2"/>
          <w:numId w:val="3"/>
        </w:numPr>
        <w:tabs>
          <w:tab w:val="left" w:pos="701"/>
        </w:tabs>
        <w:spacing w:before="4"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挡泥板：防滑钢板折弯焊接；</w:t>
      </w:r>
      <w:r>
        <w:rPr>
          <w:rFonts w:hint="eastAsia" w:ascii="宋体" w:hAnsi="宋体" w:eastAsia="宋体" w:cs="宋体"/>
          <w:sz w:val="21"/>
          <w:szCs w:val="21"/>
          <w:lang w:val="en-US" w:eastAsia="zh-CN"/>
        </w:rPr>
        <w:t>/</w:t>
      </w:r>
    </w:p>
    <w:p>
      <w:pPr>
        <w:pStyle w:val="60"/>
        <w:numPr>
          <w:ilvl w:val="2"/>
          <w:numId w:val="3"/>
        </w:numPr>
        <w:tabs>
          <w:tab w:val="left" w:pos="701"/>
        </w:tabs>
        <w:spacing w:before="5" w:after="0" w:line="240" w:lineRule="auto"/>
        <w:ind w:left="701" w:right="0" w:hanging="361"/>
        <w:jc w:val="left"/>
        <w:outlineLvl w:val="9"/>
        <w:rPr>
          <w:rFonts w:hint="eastAsia" w:ascii="宋体" w:hAnsi="宋体" w:eastAsia="宋体" w:cs="宋体"/>
          <w:sz w:val="21"/>
          <w:szCs w:val="21"/>
          <w:highlight w:val="yellow"/>
        </w:rPr>
      </w:pPr>
      <w:r>
        <w:rPr>
          <w:rFonts w:hint="eastAsia" w:cs="宋体"/>
          <w:sz w:val="21"/>
          <w:szCs w:val="21"/>
          <w:highlight w:val="yellow"/>
          <w:lang w:val="en-US" w:eastAsia="zh-CN"/>
        </w:rPr>
        <w:t>*</w:t>
      </w:r>
      <w:r>
        <w:rPr>
          <w:rFonts w:hint="eastAsia" w:ascii="宋体" w:hAnsi="宋体" w:eastAsia="宋体" w:cs="宋体"/>
          <w:sz w:val="21"/>
          <w:szCs w:val="21"/>
          <w:highlight w:val="yellow"/>
        </w:rPr>
        <w:t>行驶速度：≥80km/h</w:t>
      </w:r>
      <w:r>
        <w:rPr>
          <w:rFonts w:hint="eastAsia" w:cs="宋体"/>
          <w:spacing w:val="4"/>
          <w:sz w:val="21"/>
          <w:szCs w:val="21"/>
          <w:highlight w:val="yellow"/>
          <w:lang w:eastAsia="zh-CN"/>
        </w:rPr>
        <w:t>；</w:t>
      </w:r>
    </w:p>
    <w:p>
      <w:pPr>
        <w:pStyle w:val="11"/>
        <w:ind w:left="340" w:firstLine="0"/>
        <w:outlineLvl w:val="9"/>
        <w:rPr>
          <w:rFonts w:hint="eastAsia" w:ascii="宋体" w:hAnsi="宋体" w:eastAsia="宋体" w:cs="宋体"/>
          <w:sz w:val="21"/>
          <w:szCs w:val="21"/>
        </w:rPr>
      </w:pPr>
      <w:r>
        <w:rPr>
          <w:rFonts w:hint="eastAsia" w:ascii="宋体" w:hAnsi="宋体" w:eastAsia="宋体" w:cs="宋体"/>
          <w:sz w:val="21"/>
          <w:szCs w:val="21"/>
        </w:rPr>
        <w:t>5) 拖车支撑：自带 3 根可调节高度式支撑脚；</w:t>
      </w:r>
    </w:p>
    <w:p>
      <w:pPr>
        <w:pStyle w:val="11"/>
        <w:spacing w:before="5"/>
        <w:ind w:left="340" w:firstLine="0"/>
        <w:outlineLvl w:val="9"/>
        <w:rPr>
          <w:rFonts w:hint="eastAsia" w:ascii="宋体" w:hAnsi="宋体" w:eastAsia="宋体" w:cs="宋体"/>
          <w:sz w:val="21"/>
          <w:szCs w:val="21"/>
        </w:rPr>
      </w:pPr>
      <w:r>
        <w:rPr>
          <w:rFonts w:hint="eastAsia" w:ascii="宋体" w:hAnsi="宋体" w:eastAsia="宋体" w:cs="宋体"/>
          <w:sz w:val="21"/>
          <w:szCs w:val="21"/>
        </w:rPr>
        <w:t>6）刹车转向系统：拖车配备电动刹车和电子转向系统。</w:t>
      </w:r>
    </w:p>
    <w:p>
      <w:pPr>
        <w:numPr>
          <w:ilvl w:val="0"/>
          <w:numId w:val="0"/>
        </w:numPr>
        <w:tabs>
          <w:tab w:val="left" w:pos="588"/>
        </w:tabs>
        <w:spacing w:before="4" w:after="0" w:line="240" w:lineRule="auto"/>
        <w:ind w:left="219" w:leftChars="0" w:right="0" w:rightChars="0"/>
        <w:jc w:val="left"/>
        <w:outlineLvl w:val="9"/>
        <w:rPr>
          <w:rFonts w:hint="eastAsia" w:ascii="宋体" w:hAnsi="宋体" w:eastAsia="宋体" w:cs="宋体"/>
          <w:b/>
          <w:bCs/>
          <w:sz w:val="21"/>
          <w:szCs w:val="21"/>
          <w:u w:val="none"/>
        </w:rPr>
      </w:pPr>
      <w:r>
        <w:rPr>
          <w:rFonts w:hint="eastAsia" w:ascii="宋体" w:hAnsi="宋体" w:eastAsia="宋体" w:cs="宋体"/>
          <w:b/>
          <w:bCs/>
          <w:sz w:val="21"/>
          <w:szCs w:val="21"/>
          <w:u w:val="single"/>
          <w:lang w:val="en-US" w:eastAsia="zh-CN"/>
        </w:rPr>
        <w:t>2.4</w:t>
      </w:r>
      <w:r>
        <w:rPr>
          <w:rFonts w:hint="eastAsia" w:ascii="宋体" w:hAnsi="宋体" w:eastAsia="宋体" w:cs="宋体"/>
          <w:b/>
          <w:bCs/>
          <w:sz w:val="21"/>
          <w:szCs w:val="21"/>
          <w:u w:val="single"/>
        </w:rPr>
        <w:t>控制系统要求：</w:t>
      </w:r>
    </w:p>
    <w:p>
      <w:pPr>
        <w:pStyle w:val="11"/>
        <w:spacing w:before="5" w:line="242" w:lineRule="auto"/>
        <w:ind w:left="220" w:right="997" w:firstLine="0"/>
        <w:jc w:val="both"/>
        <w:outlineLvl w:val="9"/>
        <w:rPr>
          <w:rFonts w:hint="eastAsia" w:ascii="宋体" w:hAnsi="宋体" w:eastAsia="宋体" w:cs="宋体"/>
          <w:sz w:val="21"/>
          <w:szCs w:val="21"/>
        </w:rPr>
      </w:pPr>
      <w:r>
        <w:rPr>
          <w:rFonts w:hint="eastAsia" w:cs="宋体"/>
          <w:sz w:val="21"/>
          <w:szCs w:val="21"/>
          <w:lang w:val="en-US" w:eastAsia="zh-CN"/>
        </w:rPr>
        <w:t>*</w:t>
      </w:r>
      <w:r>
        <w:rPr>
          <w:rFonts w:hint="eastAsia" w:ascii="宋体" w:hAnsi="宋体" w:eastAsia="宋体" w:cs="宋体"/>
          <w:sz w:val="21"/>
          <w:szCs w:val="21"/>
        </w:rPr>
        <w:t>采用大屏液晶（LCD）图形显示器，可实时显示机组运行状态等参数，并具备过载保护及报警停机功能；操作简单，运行可靠，可实现在手机 APP 端远程监控和操控功能。</w:t>
      </w:r>
    </w:p>
    <w:p>
      <w:pPr>
        <w:numPr>
          <w:ilvl w:val="0"/>
          <w:numId w:val="0"/>
        </w:numPr>
        <w:tabs>
          <w:tab w:val="left" w:pos="588"/>
        </w:tabs>
        <w:spacing w:before="4" w:after="0" w:line="240" w:lineRule="auto"/>
        <w:ind w:left="219" w:leftChars="0" w:right="0" w:rightChars="0"/>
        <w:jc w:val="both"/>
        <w:outlineLvl w:val="9"/>
        <w:rPr>
          <w:rFonts w:hint="eastAsia" w:ascii="宋体" w:hAnsi="宋体" w:eastAsia="宋体" w:cs="宋体"/>
          <w:b/>
          <w:bCs/>
          <w:sz w:val="21"/>
          <w:szCs w:val="21"/>
          <w:u w:val="none"/>
        </w:rPr>
      </w:pPr>
      <w:r>
        <w:rPr>
          <w:rFonts w:hint="eastAsia" w:ascii="宋体" w:hAnsi="宋体" w:eastAsia="宋体" w:cs="宋体"/>
          <w:b/>
          <w:bCs/>
          <w:sz w:val="21"/>
          <w:szCs w:val="21"/>
          <w:u w:val="single"/>
          <w:lang w:val="en-US" w:eastAsia="zh-CN"/>
        </w:rPr>
        <w:t>2.5</w:t>
      </w:r>
      <w:r>
        <w:rPr>
          <w:rFonts w:hint="eastAsia" w:ascii="宋体" w:hAnsi="宋体" w:eastAsia="宋体" w:cs="宋体"/>
          <w:b/>
          <w:bCs/>
          <w:sz w:val="21"/>
          <w:szCs w:val="21"/>
          <w:u w:val="single"/>
        </w:rPr>
        <w:t>管路附件要求：</w:t>
      </w:r>
    </w:p>
    <w:p>
      <w:pPr>
        <w:pStyle w:val="60"/>
        <w:numPr>
          <w:ilvl w:val="0"/>
          <w:numId w:val="5"/>
        </w:numPr>
        <w:tabs>
          <w:tab w:val="left" w:pos="581"/>
        </w:tabs>
        <w:spacing w:before="4" w:after="0" w:line="240" w:lineRule="auto"/>
        <w:ind w:left="581" w:right="0" w:hanging="361"/>
        <w:jc w:val="both"/>
        <w:outlineLvl w:val="9"/>
        <w:rPr>
          <w:rFonts w:hint="eastAsia" w:ascii="宋体" w:hAnsi="宋体" w:eastAsia="宋体" w:cs="宋体"/>
          <w:sz w:val="21"/>
          <w:szCs w:val="21"/>
          <w:highlight w:val="yellow"/>
        </w:rPr>
      </w:pPr>
      <w:r>
        <w:rPr>
          <w:rFonts w:hint="eastAsia" w:ascii="宋体" w:hAnsi="宋体" w:eastAsia="宋体" w:cs="宋体"/>
          <w:spacing w:val="-15"/>
          <w:sz w:val="21"/>
          <w:szCs w:val="21"/>
          <w:highlight w:val="yellow"/>
        </w:rPr>
        <w:t xml:space="preserve">进水管 </w:t>
      </w:r>
      <w:r>
        <w:rPr>
          <w:rFonts w:hint="eastAsia" w:ascii="宋体" w:hAnsi="宋体" w:eastAsia="宋体" w:cs="宋体"/>
          <w:sz w:val="21"/>
          <w:szCs w:val="21"/>
          <w:highlight w:val="yellow"/>
        </w:rPr>
        <w:t>DN300:</w:t>
      </w:r>
      <w:r>
        <w:rPr>
          <w:rFonts w:hint="eastAsia" w:ascii="宋体" w:hAnsi="宋体" w:eastAsia="宋体" w:cs="宋体"/>
          <w:spacing w:val="-15"/>
          <w:sz w:val="21"/>
          <w:szCs w:val="21"/>
          <w:highlight w:val="yellow"/>
          <w:lang w:val="en-US"/>
        </w:rPr>
        <w:t xml:space="preserve"> 8台共24根，共配88米进水管</w:t>
      </w:r>
      <w:r>
        <w:rPr>
          <w:rFonts w:hint="eastAsia" w:ascii="宋体" w:hAnsi="宋体" w:eastAsia="宋体" w:cs="宋体"/>
          <w:spacing w:val="-15"/>
          <w:sz w:val="21"/>
          <w:szCs w:val="21"/>
          <w:highlight w:val="yellow"/>
        </w:rPr>
        <w:t>，材质</w:t>
      </w:r>
      <w:r>
        <w:rPr>
          <w:rFonts w:hint="eastAsia" w:ascii="宋体" w:hAnsi="宋体" w:eastAsia="宋体" w:cs="宋体"/>
          <w:spacing w:val="-15"/>
          <w:sz w:val="21"/>
          <w:szCs w:val="21"/>
          <w:highlight w:val="yellow"/>
          <w:lang w:val="en-US"/>
        </w:rPr>
        <w:t>PVC透明钢丝软管</w:t>
      </w:r>
      <w:r>
        <w:rPr>
          <w:rFonts w:hint="eastAsia" w:ascii="宋体" w:hAnsi="宋体" w:eastAsia="宋体" w:cs="宋体"/>
          <w:spacing w:val="-15"/>
          <w:sz w:val="21"/>
          <w:szCs w:val="21"/>
          <w:highlight w:val="yellow"/>
        </w:rPr>
        <w:t>；</w:t>
      </w:r>
    </w:p>
    <w:p>
      <w:pPr>
        <w:pStyle w:val="60"/>
        <w:numPr>
          <w:ilvl w:val="0"/>
          <w:numId w:val="5"/>
        </w:numPr>
        <w:tabs>
          <w:tab w:val="left" w:pos="581"/>
        </w:tabs>
        <w:spacing w:before="5" w:after="0" w:line="242" w:lineRule="auto"/>
        <w:ind w:left="220" w:right="997" w:firstLine="0"/>
        <w:jc w:val="both"/>
        <w:outlineLvl w:val="9"/>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 xml:space="preserve">出水管 </w:t>
      </w:r>
      <w:r>
        <w:rPr>
          <w:rFonts w:hint="eastAsia" w:ascii="宋体" w:hAnsi="宋体" w:eastAsia="宋体" w:cs="宋体"/>
          <w:sz w:val="21"/>
          <w:szCs w:val="21"/>
          <w:highlight w:val="none"/>
        </w:rPr>
        <w:t>DN200:</w:t>
      </w:r>
      <w:r>
        <w:rPr>
          <w:rFonts w:hint="eastAsia" w:ascii="宋体" w:hAnsi="宋体" w:eastAsia="宋体" w:cs="宋体"/>
          <w:spacing w:val="4"/>
          <w:sz w:val="21"/>
          <w:szCs w:val="21"/>
          <w:highlight w:val="none"/>
        </w:rPr>
        <w:t xml:space="preserve"> </w:t>
      </w:r>
      <w:r>
        <w:rPr>
          <w:rFonts w:hint="eastAsia" w:ascii="宋体" w:hAnsi="宋体" w:eastAsia="宋体" w:cs="宋体"/>
          <w:spacing w:val="-20"/>
          <w:sz w:val="21"/>
          <w:szCs w:val="21"/>
          <w:highlight w:val="none"/>
        </w:rPr>
        <w:t>每台</w:t>
      </w:r>
      <w:r>
        <w:rPr>
          <w:rFonts w:hint="eastAsia" w:cs="宋体"/>
          <w:spacing w:val="-20"/>
          <w:sz w:val="21"/>
          <w:szCs w:val="21"/>
          <w:highlight w:val="none"/>
          <w:lang w:val="en-US" w:eastAsia="zh-CN"/>
        </w:rPr>
        <w:t>配备100米出水管；</w:t>
      </w:r>
    </w:p>
    <w:p>
      <w:pPr>
        <w:pStyle w:val="60"/>
        <w:numPr>
          <w:ilvl w:val="0"/>
          <w:numId w:val="5"/>
        </w:numPr>
        <w:tabs>
          <w:tab w:val="left" w:pos="581"/>
        </w:tabs>
        <w:spacing w:before="5" w:after="0" w:line="242" w:lineRule="auto"/>
        <w:ind w:left="220" w:right="997" w:firstLine="0"/>
        <w:jc w:val="both"/>
        <w:outlineLvl w:val="9"/>
        <w:rPr>
          <w:rFonts w:hint="eastAsia" w:ascii="宋体" w:hAnsi="宋体" w:eastAsia="宋体" w:cs="宋体"/>
          <w:sz w:val="21"/>
          <w:szCs w:val="21"/>
        </w:rPr>
      </w:pPr>
      <w:r>
        <w:rPr>
          <w:rFonts w:hint="eastAsia" w:ascii="宋体" w:hAnsi="宋体" w:eastAsia="宋体" w:cs="宋体"/>
          <w:spacing w:val="-11"/>
          <w:sz w:val="21"/>
          <w:szCs w:val="21"/>
        </w:rPr>
        <w:t xml:space="preserve">配置相应快速接头，材质 </w:t>
      </w:r>
      <w:r>
        <w:rPr>
          <w:rFonts w:hint="eastAsia" w:ascii="宋体" w:hAnsi="宋体" w:eastAsia="宋体" w:cs="宋体"/>
          <w:sz w:val="21"/>
          <w:szCs w:val="21"/>
        </w:rPr>
        <w:t>PVC</w:t>
      </w:r>
      <w:r>
        <w:rPr>
          <w:rFonts w:hint="eastAsia" w:ascii="宋体" w:hAnsi="宋体" w:eastAsia="宋体" w:cs="宋体"/>
          <w:spacing w:val="3"/>
          <w:sz w:val="21"/>
          <w:szCs w:val="21"/>
        </w:rPr>
        <w:t xml:space="preserve"> </w:t>
      </w:r>
      <w:r>
        <w:rPr>
          <w:rFonts w:hint="eastAsia" w:ascii="宋体" w:hAnsi="宋体" w:eastAsia="宋体" w:cs="宋体"/>
          <w:sz w:val="21"/>
          <w:szCs w:val="21"/>
        </w:rPr>
        <w:t>涂塑耐爆水带；</w:t>
      </w:r>
    </w:p>
    <w:p>
      <w:pPr>
        <w:pStyle w:val="60"/>
        <w:numPr>
          <w:ilvl w:val="0"/>
          <w:numId w:val="5"/>
        </w:numPr>
        <w:tabs>
          <w:tab w:val="left" w:pos="581"/>
        </w:tabs>
        <w:spacing w:before="3" w:after="0" w:line="240" w:lineRule="auto"/>
        <w:ind w:left="581" w:right="0" w:hanging="361"/>
        <w:jc w:val="both"/>
        <w:outlineLvl w:val="9"/>
        <w:rPr>
          <w:rFonts w:hint="eastAsia" w:ascii="宋体" w:hAnsi="宋体" w:eastAsia="宋体" w:cs="宋体"/>
          <w:sz w:val="21"/>
          <w:szCs w:val="21"/>
        </w:rPr>
      </w:pPr>
      <w:r>
        <w:rPr>
          <w:rFonts w:hint="eastAsia" w:ascii="宋体" w:hAnsi="宋体" w:eastAsia="宋体" w:cs="宋体"/>
          <w:spacing w:val="-7"/>
          <w:sz w:val="21"/>
          <w:szCs w:val="21"/>
        </w:rPr>
        <w:t xml:space="preserve">法式保尔快速接头 </w:t>
      </w:r>
      <w:r>
        <w:rPr>
          <w:rFonts w:hint="eastAsia" w:ascii="宋体" w:hAnsi="宋体" w:eastAsia="宋体" w:cs="宋体"/>
          <w:sz w:val="21"/>
          <w:szCs w:val="21"/>
        </w:rPr>
        <w:t>DN300:</w:t>
      </w:r>
      <w:r>
        <w:rPr>
          <w:rFonts w:hint="eastAsia" w:ascii="宋体" w:hAnsi="宋体" w:eastAsia="宋体" w:cs="宋体"/>
          <w:spacing w:val="-20"/>
          <w:sz w:val="21"/>
          <w:szCs w:val="21"/>
        </w:rPr>
        <w:t xml:space="preserve">每台 </w:t>
      </w:r>
      <w:r>
        <w:rPr>
          <w:rFonts w:hint="eastAsia" w:ascii="宋体" w:hAnsi="宋体" w:eastAsia="宋体" w:cs="宋体"/>
          <w:sz w:val="21"/>
          <w:szCs w:val="21"/>
        </w:rPr>
        <w:t>1</w:t>
      </w:r>
      <w:r>
        <w:rPr>
          <w:rFonts w:hint="eastAsia" w:ascii="宋体" w:hAnsi="宋体" w:eastAsia="宋体" w:cs="宋体"/>
          <w:spacing w:val="6"/>
          <w:sz w:val="21"/>
          <w:szCs w:val="21"/>
        </w:rPr>
        <w:t xml:space="preserve"> </w:t>
      </w:r>
      <w:r>
        <w:rPr>
          <w:rFonts w:hint="eastAsia" w:ascii="宋体" w:hAnsi="宋体" w:eastAsia="宋体" w:cs="宋体"/>
          <w:sz w:val="21"/>
          <w:szCs w:val="21"/>
        </w:rPr>
        <w:t>个，材质冷轧板镀锌;</w:t>
      </w:r>
    </w:p>
    <w:p>
      <w:pPr>
        <w:pStyle w:val="11"/>
        <w:spacing w:line="242" w:lineRule="auto"/>
        <w:ind w:left="220" w:right="1000" w:firstLine="0"/>
        <w:jc w:val="both"/>
        <w:outlineLvl w:val="9"/>
        <w:rPr>
          <w:rFonts w:hint="eastAsia" w:ascii="宋体" w:hAnsi="宋体" w:eastAsia="宋体" w:cs="宋体"/>
          <w:sz w:val="21"/>
          <w:szCs w:val="21"/>
        </w:rPr>
      </w:pPr>
      <w:r>
        <w:rPr>
          <w:rFonts w:hint="eastAsia" w:ascii="宋体" w:hAnsi="宋体" w:eastAsia="宋体" w:cs="宋体"/>
          <w:sz w:val="21"/>
          <w:szCs w:val="21"/>
        </w:rPr>
        <w:t>4) 过滤底阀 DN300: 每台 1 个，材质冷轧板镀锌不锈钢滤网，滤网最大网孔尺寸 25mm。</w:t>
      </w:r>
    </w:p>
    <w:p>
      <w:pPr>
        <w:spacing w:line="360" w:lineRule="auto"/>
        <w:jc w:val="center"/>
        <w:rPr>
          <w:rFonts w:hint="eastAsia" w:ascii="仿宋" w:hAnsi="仿宋" w:eastAsia="仿宋" w:cs="仿宋"/>
          <w:b/>
          <w:color w:val="auto"/>
          <w:sz w:val="28"/>
          <w:szCs w:val="28"/>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采购需求一览表</w:t>
      </w:r>
    </w:p>
    <w:tbl>
      <w:tblPr>
        <w:tblStyle w:val="17"/>
        <w:tblpPr w:leftFromText="180" w:rightFromText="180" w:vertAnchor="text" w:horzAnchor="page" w:tblpX="742" w:tblpY="291"/>
        <w:tblOverlap w:val="never"/>
        <w:tblW w:w="10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76"/>
        <w:gridCol w:w="3767"/>
        <w:gridCol w:w="722"/>
        <w:gridCol w:w="823"/>
        <w:gridCol w:w="933"/>
        <w:gridCol w:w="1267"/>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序号</w:t>
            </w:r>
          </w:p>
        </w:tc>
        <w:tc>
          <w:tcPr>
            <w:tcW w:w="1276"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名称</w:t>
            </w:r>
          </w:p>
        </w:tc>
        <w:tc>
          <w:tcPr>
            <w:tcW w:w="3767"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技术参数和规格型号</w:t>
            </w:r>
          </w:p>
        </w:tc>
        <w:tc>
          <w:tcPr>
            <w:tcW w:w="722"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数量</w:t>
            </w:r>
          </w:p>
        </w:tc>
        <w:tc>
          <w:tcPr>
            <w:tcW w:w="82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单位</w:t>
            </w:r>
          </w:p>
        </w:tc>
        <w:tc>
          <w:tcPr>
            <w:tcW w:w="93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单价</w:t>
            </w:r>
          </w:p>
        </w:tc>
        <w:tc>
          <w:tcPr>
            <w:tcW w:w="1267"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合计价</w:t>
            </w:r>
          </w:p>
        </w:tc>
        <w:tc>
          <w:tcPr>
            <w:tcW w:w="811" w:type="dxa"/>
            <w:vAlign w:val="center"/>
          </w:tcPr>
          <w:p>
            <w:pPr>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tcPr>
          <w:p>
            <w:pPr>
              <w:spacing w:line="360" w:lineRule="auto"/>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1</w:t>
            </w:r>
          </w:p>
        </w:tc>
        <w:tc>
          <w:tcPr>
            <w:tcW w:w="1276" w:type="dxa"/>
            <w:vAlign w:val="top"/>
          </w:tcPr>
          <w:p>
            <w:pPr>
              <w:spacing w:line="360" w:lineRule="auto"/>
              <w:jc w:val="center"/>
              <w:rPr>
                <w:rFonts w:hint="eastAsia" w:ascii="仿宋" w:hAnsi="仿宋" w:eastAsia="仿宋" w:cs="仿宋"/>
                <w:b/>
                <w:color w:val="auto"/>
                <w:sz w:val="28"/>
                <w:szCs w:val="28"/>
                <w:highlight w:val="none"/>
                <w:vertAlign w:val="baseline"/>
              </w:rPr>
            </w:pPr>
            <w:r>
              <w:rPr>
                <w:rFonts w:ascii="宋体" w:hAnsi="宋体" w:eastAsia="宋体" w:cs="宋体"/>
                <w:color w:val="000000"/>
                <w:highlight w:val="none"/>
              </w:rPr>
              <w:t>移动式排水泵</w:t>
            </w:r>
            <w:r>
              <w:rPr>
                <w:rFonts w:hint="eastAsia" w:ascii="宋体" w:hAnsi="宋体" w:eastAsia="宋体" w:cs="宋体"/>
                <w:color w:val="000000"/>
                <w:highlight w:val="none"/>
                <w:lang w:val="en-US" w:eastAsia="zh-CN"/>
              </w:rPr>
              <w:t>车</w:t>
            </w:r>
          </w:p>
        </w:tc>
        <w:tc>
          <w:tcPr>
            <w:tcW w:w="3767" w:type="dxa"/>
            <w:vAlign w:val="center"/>
          </w:tcPr>
          <w:p>
            <w:pPr>
              <w:jc w:val="left"/>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详见采购需求</w:t>
            </w:r>
          </w:p>
        </w:tc>
        <w:tc>
          <w:tcPr>
            <w:tcW w:w="722"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8</w:t>
            </w:r>
          </w:p>
        </w:tc>
        <w:tc>
          <w:tcPr>
            <w:tcW w:w="823"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台</w:t>
            </w:r>
          </w:p>
        </w:tc>
        <w:tc>
          <w:tcPr>
            <w:tcW w:w="933" w:type="dxa"/>
          </w:tcPr>
          <w:p>
            <w:pPr>
              <w:spacing w:line="360" w:lineRule="auto"/>
              <w:jc w:val="center"/>
              <w:rPr>
                <w:rFonts w:hint="eastAsia" w:ascii="仿宋" w:hAnsi="仿宋" w:eastAsia="仿宋" w:cs="仿宋"/>
                <w:b/>
                <w:color w:val="auto"/>
                <w:sz w:val="28"/>
                <w:szCs w:val="28"/>
                <w:highlight w:val="none"/>
                <w:vertAlign w:val="baseline"/>
              </w:rPr>
            </w:pPr>
          </w:p>
        </w:tc>
        <w:tc>
          <w:tcPr>
            <w:tcW w:w="1267" w:type="dxa"/>
          </w:tcPr>
          <w:p>
            <w:pPr>
              <w:spacing w:line="360" w:lineRule="auto"/>
              <w:jc w:val="center"/>
              <w:rPr>
                <w:rFonts w:hint="eastAsia" w:ascii="仿宋" w:hAnsi="仿宋" w:eastAsia="仿宋" w:cs="仿宋"/>
                <w:b/>
                <w:color w:val="auto"/>
                <w:sz w:val="28"/>
                <w:szCs w:val="28"/>
                <w:highlight w:val="none"/>
                <w:vertAlign w:val="baseline"/>
              </w:rPr>
            </w:pPr>
          </w:p>
        </w:tc>
        <w:tc>
          <w:tcPr>
            <w:tcW w:w="811" w:type="dxa"/>
          </w:tcPr>
          <w:p>
            <w:pPr>
              <w:spacing w:line="360" w:lineRule="auto"/>
              <w:jc w:val="center"/>
              <w:rPr>
                <w:rFonts w:hint="eastAsia" w:ascii="仿宋" w:hAnsi="仿宋" w:eastAsia="仿宋" w:cs="仿宋"/>
                <w:b/>
                <w:color w:val="auto"/>
                <w:sz w:val="28"/>
                <w:szCs w:val="28"/>
                <w:highlight w:val="none"/>
                <w:vertAlign w:val="baseline"/>
              </w:rPr>
            </w:pPr>
          </w:p>
        </w:tc>
      </w:tr>
    </w:tbl>
    <w:p>
      <w:pPr>
        <w:pStyle w:val="38"/>
        <w:ind w:firstLine="470" w:firstLineChars="196"/>
        <w:jc w:val="center"/>
        <w:rPr>
          <w:rFonts w:hint="eastAsia" w:ascii="仿宋" w:hAnsi="仿宋" w:eastAsia="仿宋" w:cs="仿宋"/>
          <w:color w:val="auto"/>
          <w:sz w:val="24"/>
          <w:szCs w:val="24"/>
          <w:highlight w:val="none"/>
        </w:rPr>
      </w:pPr>
    </w:p>
    <w:p>
      <w:pPr>
        <w:spacing w:line="360" w:lineRule="auto"/>
        <w:jc w:val="center"/>
        <w:rPr>
          <w:rFonts w:hint="eastAsia" w:ascii="仿宋" w:hAnsi="仿宋" w:eastAsia="仿宋" w:cs="仿宋"/>
          <w:b/>
          <w:color w:val="auto"/>
          <w:sz w:val="28"/>
          <w:szCs w:val="28"/>
          <w:highlight w:val="none"/>
        </w:rPr>
      </w:pPr>
    </w:p>
    <w:p>
      <w:pPr>
        <w:pStyle w:val="38"/>
        <w:rPr>
          <w:rFonts w:hint="eastAsia" w:ascii="仿宋" w:hAnsi="仿宋" w:eastAsia="仿宋" w:cs="仿宋"/>
          <w:color w:val="auto"/>
          <w:sz w:val="28"/>
          <w:szCs w:val="28"/>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8"/>
          <w:szCs w:val="28"/>
          <w:highlight w:val="none"/>
        </w:rPr>
        <w:t xml:space="preserve"> </w:t>
      </w:r>
    </w:p>
    <w:p>
      <w:pPr>
        <w:pStyle w:val="38"/>
        <w:jc w:val="center"/>
        <w:rPr>
          <w:rFonts w:hint="eastAsia" w:ascii="仿宋" w:hAnsi="仿宋" w:eastAsia="仿宋" w:cs="仿宋"/>
          <w:color w:val="auto"/>
          <w:sz w:val="24"/>
          <w:szCs w:val="24"/>
          <w:highlight w:val="none"/>
        </w:rPr>
      </w:pPr>
      <w:r>
        <w:rPr>
          <w:rFonts w:hint="eastAsia" w:ascii="仿宋" w:hAnsi="仿宋" w:eastAsia="仿宋" w:cs="仿宋"/>
          <w:color w:val="auto"/>
          <w:sz w:val="28"/>
          <w:szCs w:val="28"/>
          <w:highlight w:val="none"/>
        </w:rPr>
        <w:t xml:space="preserve">  </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b/>
          <w:color w:val="auto"/>
          <w:kern w:val="2"/>
          <w:sz w:val="32"/>
          <w:szCs w:val="32"/>
          <w:highlight w:val="none"/>
          <w:lang w:val="en-US" w:eastAsia="zh-CN" w:bidi="ar-SA"/>
        </w:rPr>
        <w:t>第五章  评标办法及评分规则</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综合评分法</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1.评审原则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1.1合法、合规原则。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公平、公正、科学、审慎、择优原则。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高分优先原则。衡量投标文件满足招标文件规定各项评审标准的程度，折算为综合得分分值，依据每个供应商的综合得分由高到低，依次确定排名顺序。</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2.评审分值分配（满分100分）</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2.1价格标（20分）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技术标（</w:t>
      </w:r>
      <w:r>
        <w:rPr>
          <w:rFonts w:hint="eastAsia" w:ascii="仿宋" w:hAnsi="仿宋" w:eastAsia="仿宋" w:cs="仿宋"/>
          <w:color w:val="FF0000"/>
          <w:sz w:val="24"/>
          <w:szCs w:val="24"/>
          <w:highlight w:val="none"/>
          <w:lang w:val="en-US" w:eastAsia="zh-CN"/>
        </w:rPr>
        <w:t>60</w:t>
      </w:r>
      <w:r>
        <w:rPr>
          <w:rFonts w:hint="eastAsia" w:ascii="仿宋" w:hAnsi="仿宋" w:eastAsia="仿宋" w:cs="仿宋"/>
          <w:color w:val="FF0000"/>
          <w:sz w:val="24"/>
          <w:szCs w:val="24"/>
          <w:highlight w:val="none"/>
        </w:rPr>
        <w:t>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 xml:space="preserve">.1投标产品及其技术参数        </w:t>
      </w:r>
      <w:r>
        <w:rPr>
          <w:rFonts w:hint="eastAsia" w:ascii="仿宋" w:hAnsi="仿宋" w:eastAsia="仿宋" w:cs="仿宋"/>
          <w:color w:val="FF0000"/>
          <w:sz w:val="24"/>
          <w:szCs w:val="24"/>
          <w:highlight w:val="none"/>
          <w:lang w:val="en-US" w:eastAsia="zh-CN"/>
        </w:rPr>
        <w:t>40</w:t>
      </w:r>
      <w:r>
        <w:rPr>
          <w:rFonts w:hint="eastAsia" w:ascii="仿宋" w:hAnsi="仿宋" w:eastAsia="仿宋" w:cs="仿宋"/>
          <w:color w:val="FF0000"/>
          <w:sz w:val="24"/>
          <w:szCs w:val="24"/>
          <w:highlight w:val="none"/>
        </w:rPr>
        <w:t>分</w:t>
      </w:r>
    </w:p>
    <w:p>
      <w:pPr>
        <w:spacing w:line="360" w:lineRule="auto"/>
        <w:ind w:firstLine="480" w:firstLineChars="200"/>
        <w:rPr>
          <w:rFonts w:hint="default"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安装调试、供货计划及        10分</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保证措施方案</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2.2.3维修方案                    5分</w:t>
      </w:r>
    </w:p>
    <w:p>
      <w:pPr>
        <w:spacing w:line="360" w:lineRule="auto"/>
        <w:ind w:firstLine="480" w:firstLineChars="200"/>
        <w:rPr>
          <w:rFonts w:hint="default"/>
          <w:color w:val="FF0000"/>
          <w:highlight w:val="none"/>
          <w:lang w:val="en-US" w:eastAsia="zh-CN"/>
        </w:rPr>
      </w:pPr>
      <w:r>
        <w:rPr>
          <w:rFonts w:hint="eastAsia" w:ascii="仿宋" w:hAnsi="仿宋" w:eastAsia="仿宋" w:cs="仿宋"/>
          <w:color w:val="FF0000"/>
          <w:sz w:val="24"/>
          <w:szCs w:val="24"/>
          <w:highlight w:val="none"/>
          <w:lang w:val="en-US" w:eastAsia="zh-CN"/>
        </w:rPr>
        <w:t xml:space="preserve">2.2.4培训方案                    5分  </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商务标（</w:t>
      </w:r>
      <w:r>
        <w:rPr>
          <w:rFonts w:hint="eastAsia" w:ascii="仿宋" w:hAnsi="仿宋" w:eastAsia="仿宋" w:cs="仿宋"/>
          <w:color w:val="FF0000"/>
          <w:sz w:val="24"/>
          <w:szCs w:val="24"/>
          <w:highlight w:val="none"/>
          <w:lang w:val="en-US" w:eastAsia="zh-CN"/>
        </w:rPr>
        <w:t>20</w:t>
      </w:r>
      <w:r>
        <w:rPr>
          <w:rFonts w:hint="eastAsia" w:ascii="仿宋" w:hAnsi="仿宋" w:eastAsia="仿宋" w:cs="仿宋"/>
          <w:color w:val="FF0000"/>
          <w:sz w:val="24"/>
          <w:szCs w:val="24"/>
          <w:highlight w:val="none"/>
        </w:rPr>
        <w:t>分）</w:t>
      </w:r>
    </w:p>
    <w:p>
      <w:pPr>
        <w:pStyle w:val="2"/>
        <w:ind w:left="0" w:leftChars="0"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2.3.1体系认证证书                 4分</w:t>
      </w:r>
    </w:p>
    <w:p>
      <w:pPr>
        <w:pStyle w:val="2"/>
        <w:ind w:left="0" w:leftChars="0" w:firstLine="480" w:firstLineChars="200"/>
        <w:rPr>
          <w:rFonts w:hint="default"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2.3.2产品供货周期                 4分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 xml:space="preserve">供应商业绩                   </w:t>
      </w:r>
      <w:r>
        <w:rPr>
          <w:rFonts w:hint="eastAsia" w:ascii="仿宋" w:hAnsi="仿宋" w:eastAsia="仿宋" w:cs="仿宋"/>
          <w:color w:val="FF0000"/>
          <w:sz w:val="24"/>
          <w:szCs w:val="24"/>
          <w:highlight w:val="none"/>
          <w:lang w:val="en-US" w:eastAsia="zh-CN"/>
        </w:rPr>
        <w:t>4</w:t>
      </w:r>
      <w:r>
        <w:rPr>
          <w:rFonts w:hint="eastAsia" w:ascii="仿宋" w:hAnsi="仿宋" w:eastAsia="仿宋" w:cs="仿宋"/>
          <w:color w:val="FF0000"/>
          <w:sz w:val="24"/>
          <w:szCs w:val="24"/>
          <w:highlight w:val="none"/>
        </w:rPr>
        <w:t>分</w:t>
      </w:r>
    </w:p>
    <w:p>
      <w:pPr>
        <w:pStyle w:val="2"/>
        <w:ind w:left="0" w:leftChars="0" w:firstLine="480" w:firstLineChars="200"/>
        <w:rPr>
          <w:rFonts w:hint="eastAsia"/>
          <w:color w:val="FF0000"/>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w:t>
      </w:r>
      <w:r>
        <w:rPr>
          <w:rFonts w:hint="eastAsia" w:ascii="仿宋" w:hAnsi="仿宋" w:eastAsia="仿宋" w:cs="仿宋"/>
          <w:color w:val="FF0000"/>
          <w:sz w:val="24"/>
          <w:szCs w:val="24"/>
          <w:highlight w:val="none"/>
          <w:lang w:val="en-US" w:eastAsia="zh-CN"/>
        </w:rPr>
        <w:t>4</w:t>
      </w:r>
      <w:r>
        <w:rPr>
          <w:rFonts w:hint="eastAsia" w:ascii="仿宋" w:hAnsi="仿宋" w:eastAsia="仿宋" w:cs="仿宋"/>
          <w:color w:val="FF0000"/>
          <w:sz w:val="24"/>
          <w:szCs w:val="24"/>
          <w:highlight w:val="none"/>
        </w:rPr>
        <w:t xml:space="preserve">售后服务承诺                </w:t>
      </w:r>
      <w:r>
        <w:rPr>
          <w:rFonts w:hint="eastAsia" w:ascii="仿宋" w:hAnsi="仿宋" w:eastAsia="仿宋" w:cs="仿宋"/>
          <w:color w:val="FF0000"/>
          <w:sz w:val="24"/>
          <w:szCs w:val="24"/>
          <w:highlight w:val="none"/>
          <w:lang w:val="en-US" w:eastAsia="zh-CN"/>
        </w:rPr>
        <w:t xml:space="preserve"> 8</w:t>
      </w:r>
      <w:r>
        <w:rPr>
          <w:rFonts w:hint="eastAsia" w:ascii="仿宋" w:hAnsi="仿宋" w:eastAsia="仿宋" w:cs="仿宋"/>
          <w:color w:val="FF0000"/>
          <w:sz w:val="24"/>
          <w:szCs w:val="24"/>
          <w:highlight w:val="none"/>
        </w:rPr>
        <w:t>分</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3.评审内容（数值计算结果均保留两位小数，第三位四舍五入）</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3.1资格性和符合性审查内容及标准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采购人或代理机构对投标文件的资格性响应作合格性审查,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有下列情形之一的，应做无效投标处理：</w:t>
      </w:r>
    </w:p>
    <w:tbl>
      <w:tblPr>
        <w:tblStyle w:val="17"/>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4770" w:type="dxa"/>
            <w:gridSpan w:val="2"/>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评审内容</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43" w:hRule="atLeast"/>
        </w:trPr>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资格性审查</w:t>
            </w:r>
          </w:p>
        </w:tc>
        <w:tc>
          <w:tcPr>
            <w:tcW w:w="3809" w:type="dxa"/>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营业执照</w:t>
            </w:r>
          </w:p>
        </w:tc>
        <w:tc>
          <w:tcPr>
            <w:tcW w:w="4771" w:type="dxa"/>
            <w:tcBorders>
              <w:top w:val="outset" w:color="auto" w:sz="6" w:space="0"/>
              <w:left w:val="outset" w:color="auto" w:sz="6" w:space="0"/>
              <w:bottom w:val="outset" w:color="auto" w:sz="6" w:space="0"/>
              <w:right w:val="outset" w:color="auto" w:sz="6" w:space="0"/>
            </w:tcBorders>
            <w:vAlign w:val="center"/>
          </w:tcPr>
          <w:p>
            <w:pPr>
              <w:tabs>
                <w:tab w:val="center" w:pos="2378"/>
              </w:tabs>
              <w:jc w:val="left"/>
              <w:rPr>
                <w:rFonts w:hint="eastAsia" w:ascii="仿宋" w:hAnsi="仿宋" w:eastAsia="仿宋" w:cs="仿宋"/>
                <w:color w:val="auto"/>
                <w:highlight w:val="none"/>
              </w:rPr>
            </w:pPr>
            <w:r>
              <w:rPr>
                <w:rFonts w:hint="eastAsia" w:ascii="仿宋" w:hAnsi="仿宋" w:eastAsia="仿宋" w:cs="仿宋"/>
                <w:color w:val="auto"/>
                <w:highlight w:val="none"/>
              </w:rPr>
              <w:t>未提供合法有效工商营业执照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资格条件</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法定代表人或授权委托人资格</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供应商被行政监督部门作出禁止投标处罚且在有效期内的，或其他违反法律法规和招标文件规定的情形</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评标委员会对投标文件的符合性响应作合格性审查,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有下列情形之一的，评标委员会应做无效投标处理：</w:t>
      </w:r>
    </w:p>
    <w:tbl>
      <w:tblPr>
        <w:tblStyle w:val="17"/>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符合性审查</w:t>
            </w: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供应商名称</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与营业执照、资质证书等不一致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投标文件签署</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未按招标文件要求加盖公章且无法定代表人或授权委托人签字（签章）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投标文件格式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未按规定格式填写，实质性内容不全或关键字迹模糊、无法辨认</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投标方案及报价</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报价超过招标文件中规定的预算金额或者最高限价；递交两份或多份内容不同的投标文件，或在一份投标文件中对同一招标项目有两个或多个报价，且未声明哪一个有效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投标有效期</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交货时间、地点、质保期或付款方式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58" w:hRule="atLeast"/>
        </w:trPr>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投标文件创建标识码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不同供应商投标文件创建标识码相同的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投标文件的机器识别码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不同供应商的机器识别码相同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其他实质性响应</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3.2评审内容及标准</w:t>
      </w:r>
    </w:p>
    <w:tbl>
      <w:tblPr>
        <w:tblStyle w:val="17"/>
        <w:tblW w:w="8820"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5"/>
        <w:gridCol w:w="1425"/>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445" w:type="dxa"/>
            <w:gridSpan w:val="2"/>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评分标准</w:t>
            </w:r>
          </w:p>
        </w:tc>
        <w:tc>
          <w:tcPr>
            <w:tcW w:w="1425" w:type="dxa"/>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评分因素</w:t>
            </w:r>
          </w:p>
        </w:tc>
        <w:tc>
          <w:tcPr>
            <w:tcW w:w="5950" w:type="dxa"/>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540" w:type="dxa"/>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1</w:t>
            </w:r>
          </w:p>
        </w:tc>
        <w:tc>
          <w:tcPr>
            <w:tcW w:w="90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投标报价（20）分</w:t>
            </w: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投标报价（20分）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lang w:val="en-US" w:eastAsia="zh-CN"/>
              </w:rPr>
              <w:t>投标</w:t>
            </w:r>
            <w:r>
              <w:rPr>
                <w:rFonts w:hint="eastAsia" w:ascii="仿宋" w:hAnsi="仿宋" w:eastAsia="仿宋" w:cs="仿宋"/>
                <w:color w:val="FF0000"/>
                <w:highlight w:val="none"/>
              </w:rPr>
              <w:t>报价等于评审基准价的得满分，</w:t>
            </w:r>
            <w:r>
              <w:rPr>
                <w:rFonts w:hint="eastAsia" w:ascii="仿宋" w:hAnsi="仿宋" w:eastAsia="仿宋" w:cs="仿宋"/>
                <w:color w:val="FF0000"/>
                <w:highlight w:val="none"/>
                <w:lang w:val="en-US" w:eastAsia="zh-CN"/>
              </w:rPr>
              <w:t>投标</w:t>
            </w:r>
            <w:r>
              <w:rPr>
                <w:rFonts w:hint="eastAsia" w:ascii="仿宋" w:hAnsi="仿宋" w:eastAsia="仿宋" w:cs="仿宋"/>
                <w:color w:val="FF0000"/>
                <w:highlight w:val="none"/>
              </w:rPr>
              <w:t>报价相对评审基准价每低1%扣0.15分，每高1%扣0.3分；偏离不足1%的，按照插入法计算得分；上述计算结果四舍五入，小数点后保留2位小数。满分20分。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（1）评审基准值计算方法的确定：</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 xml:space="preserve">以有效投标文件的评标价算术平均值为评标基准价 </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（2）特殊情形下，评标基准价调整方式：</w:t>
            </w:r>
          </w:p>
          <w:p>
            <w:pPr>
              <w:pStyle w:val="2"/>
              <w:ind w:left="0" w:leftChars="0" w:firstLine="0" w:firstLineChars="0"/>
              <w:rPr>
                <w:rFonts w:hint="eastAsia"/>
              </w:rPr>
            </w:pPr>
            <w:r>
              <w:rPr>
                <w:rFonts w:hint="eastAsia" w:ascii="仿宋" w:hAnsi="仿宋" w:eastAsia="仿宋" w:cs="仿宋"/>
                <w:color w:val="FF0000"/>
                <w:highlight w:val="none"/>
              </w:rPr>
              <w:t>除确认存在计算错误外，评审基准价不因采购当事人质疑、投诉、复议以及其它任何情形而改变。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40" w:type="dxa"/>
            <w:vMerge w:val="restart"/>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2</w:t>
            </w:r>
          </w:p>
        </w:tc>
        <w:tc>
          <w:tcPr>
            <w:tcW w:w="905" w:type="dxa"/>
            <w:vMerge w:val="restart"/>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技术响应（60分）</w:t>
            </w: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带“◆”项技术指标响应情况（20分）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投标人所投产品全部满足用户需求书中带“◆”的重要技术条款的，得20分；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对带“◆”项指标，每有一项不满足扣5分，最高扣20分。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不带“◆”项技术指标响应情况（20分）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投标人所投产品全部满足用户需求书中不带“◆”的一般技术条款的，得20分；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对不带“◆”项指标，每有一项不满足扣2分，最高扣10分。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8"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安装调试、供货计划及保证措施方案</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（1</w:t>
            </w:r>
            <w:r>
              <w:rPr>
                <w:rFonts w:hint="eastAsia" w:ascii="仿宋" w:hAnsi="仿宋" w:eastAsia="仿宋" w:cs="仿宋"/>
                <w:color w:val="FF0000"/>
                <w:highlight w:val="none"/>
                <w:lang w:val="en-US" w:eastAsia="zh-CN"/>
              </w:rPr>
              <w:t>0</w:t>
            </w:r>
            <w:r>
              <w:rPr>
                <w:rFonts w:hint="eastAsia" w:ascii="仿宋" w:hAnsi="仿宋" w:eastAsia="仿宋" w:cs="仿宋"/>
                <w:color w:val="FF0000"/>
                <w:highlight w:val="none"/>
              </w:rPr>
              <w:t>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根据投标人针对本项目的进度安排、项目具体实施计划、安装调试、产品发运、质量控制及保证方案。进行综合评审后打分，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方案全面完整、切实可行、科学合理</w:t>
            </w:r>
            <w:r>
              <w:rPr>
                <w:rFonts w:hint="eastAsia" w:ascii="仿宋" w:hAnsi="仿宋" w:eastAsia="仿宋" w:cs="仿宋"/>
                <w:color w:val="FF0000"/>
                <w:highlight w:val="none"/>
                <w:lang w:val="en-US" w:eastAsia="zh-CN"/>
              </w:rPr>
              <w:t>的</w:t>
            </w:r>
            <w:r>
              <w:rPr>
                <w:rFonts w:hint="eastAsia" w:ascii="仿宋" w:hAnsi="仿宋" w:eastAsia="仿宋" w:cs="仿宋"/>
                <w:color w:val="FF0000"/>
                <w:highlight w:val="none"/>
              </w:rPr>
              <w:t xml:space="preserve"> </w:t>
            </w:r>
            <w:r>
              <w:rPr>
                <w:rFonts w:hint="eastAsia" w:ascii="仿宋" w:hAnsi="仿宋" w:eastAsia="仿宋" w:cs="仿宋"/>
                <w:color w:val="FF0000"/>
                <w:highlight w:val="none"/>
                <w:lang w:val="en-US" w:eastAsia="zh-CN"/>
              </w:rPr>
              <w:t>10</w:t>
            </w:r>
            <w:r>
              <w:rPr>
                <w:rFonts w:hint="eastAsia" w:ascii="仿宋" w:hAnsi="仿宋" w:eastAsia="仿宋" w:cs="仿宋"/>
                <w:color w:val="FF0000"/>
                <w:highlight w:val="none"/>
              </w:rPr>
              <w:t>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 xml:space="preserve">方案较为全面、较为切实可行、较为科学合理的，得 </w:t>
            </w:r>
            <w:r>
              <w:rPr>
                <w:rFonts w:hint="eastAsia" w:ascii="仿宋" w:hAnsi="仿宋" w:eastAsia="仿宋" w:cs="仿宋"/>
                <w:color w:val="FF0000"/>
                <w:highlight w:val="none"/>
                <w:lang w:val="en-US" w:eastAsia="zh-CN"/>
              </w:rPr>
              <w:t>6</w:t>
            </w:r>
            <w:r>
              <w:rPr>
                <w:rFonts w:hint="eastAsia" w:ascii="仿宋" w:hAnsi="仿宋" w:eastAsia="仿宋" w:cs="仿宋"/>
                <w:color w:val="FF0000"/>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维修方案</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w:t>
            </w:r>
            <w:r>
              <w:rPr>
                <w:rFonts w:hint="eastAsia" w:ascii="仿宋" w:hAnsi="仿宋" w:eastAsia="仿宋" w:cs="仿宋"/>
                <w:color w:val="FF0000"/>
                <w:highlight w:val="none"/>
                <w:lang w:val="en-US" w:eastAsia="zh-CN"/>
              </w:rPr>
              <w:t>5</w:t>
            </w:r>
            <w:r>
              <w:rPr>
                <w:rFonts w:hint="eastAsia" w:ascii="仿宋" w:hAnsi="仿宋" w:eastAsia="仿宋" w:cs="仿宋"/>
                <w:color w:val="FF0000"/>
                <w:highlight w:val="none"/>
              </w:rPr>
              <w:t>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针对服务维修方案进行综合评审后打分，优</w:t>
            </w:r>
            <w:r>
              <w:rPr>
                <w:rFonts w:hint="eastAsia" w:ascii="仿宋" w:hAnsi="仿宋" w:eastAsia="仿宋" w:cs="仿宋"/>
                <w:color w:val="FF0000"/>
                <w:highlight w:val="none"/>
                <w:lang w:val="en-US" w:eastAsia="zh-CN"/>
              </w:rPr>
              <w:t>5分，良（2-3分），一般1分。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培训方案</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（5分）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使用指导、培训方案。进行综合评审后打分，优5分，良2分，一般1分。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540" w:type="dxa"/>
            <w:vMerge w:val="restart"/>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3</w:t>
            </w:r>
          </w:p>
        </w:tc>
        <w:tc>
          <w:tcPr>
            <w:tcW w:w="905" w:type="dxa"/>
            <w:vMerge w:val="restart"/>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商务部分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w:t>
            </w:r>
            <w:r>
              <w:rPr>
                <w:rFonts w:hint="eastAsia" w:ascii="仿宋" w:hAnsi="仿宋" w:eastAsia="仿宋" w:cs="仿宋"/>
                <w:color w:val="FF0000"/>
                <w:highlight w:val="none"/>
                <w:lang w:val="en-US" w:eastAsia="zh-CN"/>
              </w:rPr>
              <w:t>2</w:t>
            </w:r>
            <w:r>
              <w:rPr>
                <w:rFonts w:hint="eastAsia" w:ascii="仿宋" w:hAnsi="仿宋" w:eastAsia="仿宋" w:cs="仿宋"/>
                <w:color w:val="FF0000"/>
                <w:highlight w:val="none"/>
              </w:rPr>
              <w:t>0）分</w:t>
            </w: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体系认证证书（4分）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投标人提供所投产品的制造商具备质量管理体系认证证书、环境管理体系认证证书，每提供一项认证得2分，最高得4分。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产品供货周期（4分）</w:t>
            </w:r>
          </w:p>
          <w:p>
            <w:pPr>
              <w:jc w:val="left"/>
              <w:rPr>
                <w:rFonts w:hint="eastAsia" w:ascii="仿宋" w:hAnsi="仿宋" w:eastAsia="仿宋" w:cs="仿宋"/>
                <w:color w:val="FF0000"/>
                <w:highlight w:val="none"/>
                <w:lang w:val="en-US" w:eastAsia="zh-CN"/>
              </w:rPr>
            </w:pP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移动排涝泵站产品供货期5日以内的得4分，不满足则不得分。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供应商业绩（4分）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投标人或所投产品制造商自2019年1月以来，每提供一个类似移动排涝泵站的得2分，本项满分4分。</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zh-CN" w:eastAsia="zh-CN"/>
              </w:rPr>
              <w:t>注：</w:t>
            </w:r>
            <w:r>
              <w:rPr>
                <w:rFonts w:hint="eastAsia" w:ascii="仿宋" w:hAnsi="仿宋" w:eastAsia="仿宋" w:cs="仿宋"/>
                <w:color w:val="FF0000"/>
                <w:highlight w:val="none"/>
                <w:lang w:val="en-US" w:eastAsia="zh-CN"/>
              </w:rPr>
              <w:t>业绩时间以合同签订时间为准，需提供合同复印件加盖公章，合同需清晰反映合同签订日期、项目名称、合同金额、项目规模、内容等需要明示的内容；如合同不能体现相关内容，需提供加盖建设单位公章的相关证明文件，否则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售后服务承诺（8分）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1、承诺现场培训、技术支持及售后服务，且接到招标人电话通知1小时内能作出响应，12个小时内解决问题的得2分，未响应的或承诺不全面的不得分。</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2、本地化售后服务机构：6分。投标人在安徽省内有设立售后服务维修站的得6分，其余不得分。（提供售后服务机构营业执照副本复印件、售后服务人员资格证书、公司缴纳社保证明资料，提供不全或未提供不得分）</w:t>
            </w:r>
          </w:p>
        </w:tc>
      </w:tr>
    </w:tbl>
    <w:tbl>
      <w:tblPr>
        <w:tblStyle w:val="18"/>
        <w:tblpPr w:leftFromText="180" w:rightFromText="180" w:vertAnchor="text" w:horzAnchor="page" w:tblpX="1502" w:tblpY="386"/>
        <w:tblOverlap w:val="never"/>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trPr>
        <w:tc>
          <w:tcPr>
            <w:tcW w:w="9480" w:type="dxa"/>
            <w:noWrap w:val="0"/>
            <w:vAlign w:val="top"/>
          </w:tcPr>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注：</w:t>
            </w:r>
            <w:r>
              <w:rPr>
                <w:rFonts w:hint="eastAsia" w:ascii="仿宋" w:hAnsi="仿宋" w:eastAsia="仿宋" w:cs="仿宋"/>
                <w:color w:val="auto"/>
                <w:sz w:val="22"/>
                <w:szCs w:val="22"/>
                <w:highlight w:val="none"/>
              </w:rPr>
              <w:t>投标报价有算术错误及其他错误的，评标委员会按以下原则要求投标人对投标报价进行修正，并要求投标人书面澄清确认。投标人拒不澄清确认的，评标委员会应当否决其投标：</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投标文件中的大写金额与小写金额不一致的，以大写金额为准；</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2</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总价金额与单价金额不一致的，以单价金额为准，但单价金额小数点有明显错误的除外；</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投标报价为各分项报价金额之和，投标报价与分项报价的合价不一致的，应以各分项合价累计数为准，修正投标报价；</w:t>
            </w:r>
          </w:p>
          <w:p>
            <w:pPr>
              <w:spacing w:line="360" w:lineRule="auto"/>
              <w:ind w:firstLine="440" w:firstLineChars="200"/>
              <w:rPr>
                <w:rFonts w:hint="eastAsia"/>
                <w:color w:val="000000"/>
                <w:spacing w:val="-8"/>
                <w:sz w:val="21"/>
                <w:highlight w:val="none"/>
                <w:vertAlign w:val="baseline"/>
                <w:lang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如果分项报价中存在缺漏项，则视为缺漏项价格已包含在其他分项报价之中。</w:t>
            </w:r>
          </w:p>
        </w:tc>
      </w:tr>
    </w:tbl>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4．评审结果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4.1经评审合格的投标文件，评标委员会按综合评审得分从高到低的顺序依次推荐2名中标候选供应商。排名第一的为首选中标供应商，排名第二的为备选供应商。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评标委员会完成评标后，应当向采购人提交书面评标报告。</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5.例外情况</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5.1当出现供应商综合评审得分相等时，按下列顺序排序：“投标报价”得分高的优先；仍相同时，“投标产品及其技术参数</w:t>
      </w:r>
      <w:r>
        <w:rPr>
          <w:rFonts w:hint="eastAsia" w:ascii="仿宋" w:hAnsi="仿宋" w:eastAsia="仿宋" w:cs="仿宋"/>
          <w:b/>
          <w:bCs/>
          <w:sz w:val="22"/>
          <w:szCs w:val="22"/>
          <w:u w:val="single"/>
        </w:rPr>
        <w:t>投标产品对招标文件的响应程度</w:t>
      </w:r>
      <w:r>
        <w:rPr>
          <w:rFonts w:hint="eastAsia" w:ascii="仿宋" w:hAnsi="仿宋" w:eastAsia="仿宋" w:cs="仿宋"/>
          <w:color w:val="auto"/>
          <w:sz w:val="24"/>
          <w:szCs w:val="24"/>
          <w:highlight w:val="none"/>
        </w:rPr>
        <w:t>”得分高的优先；依然相同时，由评标委员会现场抽签确定顺序。</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5.2当评标委员会认为各投标报价均较高时，可以否决全部投标。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5.3招标文件条款存在含义不清或者相互矛盾的，评标委员会应当针对相应条款作出有利于相应供应商的结论。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5.4 评标委员会发现招标文件存在歧义、重大缺陷导致评标工作无法进行，或者招标文件的内容违反国家有关强制性规定的，应当停止评标工作，与采购人或代理机构沟通并做书面记录。采购人或代理机构书面确认后，应当修改招标文件，重新组织采购活动。</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6.其他</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6.1</w:t>
      </w:r>
      <w:r>
        <w:rPr>
          <w:rFonts w:hint="eastAsia" w:ascii="仿宋" w:hAnsi="仿宋" w:eastAsia="仿宋" w:cs="仿宋"/>
          <w:color w:val="auto"/>
          <w:sz w:val="24"/>
          <w:szCs w:val="24"/>
          <w:highlight w:val="none"/>
        </w:rPr>
        <w:t>中标结果公告：公告内容应包括采购人及其委托的代理机构的名称、地址、联系方式，项目名称和项目编号，中标供应商名称、地址和中标金额，主要中标标的的名称、规格型号、数量、单价、服务要求，评标被否决单位及原因，中标公告期限以及评标委员会成员名单。招标文件随之一起公告。</w:t>
      </w:r>
    </w:p>
    <w:p>
      <w:pPr>
        <w:spacing w:line="360" w:lineRule="auto"/>
        <w:ind w:firstLine="480" w:firstLineChars="200"/>
        <w:rPr>
          <w:rFonts w:hint="eastAsia" w:ascii="仿宋" w:hAnsi="仿宋" w:eastAsia="仿宋" w:cs="仿宋"/>
          <w:color w:val="auto"/>
          <w:sz w:val="24"/>
          <w:szCs w:val="24"/>
          <w:highlight w:val="none"/>
          <w:lang w:eastAsia="zh-CN"/>
        </w:rPr>
      </w:pPr>
    </w:p>
    <w:p>
      <w:pPr>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章  投标文件格式</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一、投标函（格式）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投标函I</w:t>
      </w:r>
    </w:p>
    <w:p>
      <w:pPr>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致：</w:t>
      </w:r>
      <w:r>
        <w:rPr>
          <w:rFonts w:hint="eastAsia" w:ascii="仿宋" w:hAnsi="仿宋" w:eastAsia="仿宋" w:cs="仿宋"/>
          <w:b/>
          <w:color w:val="auto"/>
          <w:sz w:val="24"/>
          <w:szCs w:val="24"/>
          <w:highlight w:val="none"/>
          <w:u w:val="single"/>
        </w:rPr>
        <w:t>（代理机构全称</w:t>
      </w:r>
      <w:r>
        <w:rPr>
          <w:rFonts w:hint="eastAsia" w:ascii="仿宋" w:hAnsi="仿宋" w:eastAsia="仿宋" w:cs="仿宋"/>
          <w:b/>
          <w:color w:val="auto"/>
          <w:sz w:val="24"/>
          <w:szCs w:val="24"/>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1.在研究了</w:t>
      </w:r>
      <w:r>
        <w:rPr>
          <w:rFonts w:hint="eastAsia" w:ascii="仿宋" w:hAnsi="仿宋" w:eastAsia="仿宋" w:cs="仿宋"/>
          <w:color w:val="auto"/>
          <w:highlight w:val="none"/>
          <w:u w:val="single"/>
        </w:rPr>
        <w:t xml:space="preserve">      </w:t>
      </w:r>
      <w:r>
        <w:rPr>
          <w:rFonts w:hint="eastAsia" w:ascii="仿宋" w:hAnsi="仿宋" w:eastAsia="仿宋" w:cs="仿宋"/>
          <w:b/>
          <w:color w:val="auto"/>
          <w:highlight w:val="none"/>
          <w:u w:val="single"/>
        </w:rPr>
        <w:t>项目名称及编号（如为分包项目注明包号或标段号）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招标文件（含补充文件）后，我们愿意按人民币（大写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元）（小写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元）的投标总价，遵照招标文件（含补充文件）的要求承担本招标项目的实施，完成本次招标范围的全部项目内容及其保修工作。</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2.如果你单位接受我们的投标，我们将保证在</w:t>
      </w:r>
      <w:r>
        <w:rPr>
          <w:rFonts w:hint="eastAsia" w:ascii="仿宋" w:hAnsi="仿宋" w:eastAsia="仿宋" w:cs="仿宋"/>
          <w:color w:val="auto"/>
          <w:highlight w:val="none"/>
          <w:u w:val="single"/>
        </w:rPr>
        <w:t>*****</w:t>
      </w:r>
      <w:r>
        <w:rPr>
          <w:rFonts w:hint="eastAsia" w:ascii="仿宋" w:hAnsi="仿宋" w:eastAsia="仿宋" w:cs="仿宋"/>
          <w:color w:val="auto"/>
          <w:highlight w:val="none"/>
        </w:rPr>
        <w:t>个日历天的供货期内完成本招标项目的全部工作内容，并达到招标规定的要求。</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3.我们同意从规定的开标之日起56个日历天的投标有效期内严格遵守投标文件的各项承诺。在此期限届满之前，本投标文件始终将对我方具有约束力，并随时接受中标。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4.在合同书正式签署生效之前，本投标文件连同你单位的中标通知书将构成我们双方之间共同遵守的文件，对双方具有约束力。</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5.我们理解你单位不负担我们的任何投标费用。</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6.我方承诺，与对本次招标货物进行设计、编制规范和其他文件的单位或其附属机构均无关联。我方不是买方的附属机构。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7.我们完全接受招标文件的规定。如有违反，你单位有权撤消我单位中标资格，另选中标单位。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8.其他需要承诺的事项（为保留条款）。</w:t>
      </w:r>
    </w:p>
    <w:p>
      <w:pPr>
        <w:spacing w:line="360" w:lineRule="auto"/>
        <w:ind w:firstLine="420" w:firstLineChars="200"/>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供应商： (盖单位印章)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单位地址及邮政编码：</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lang w:eastAsia="zh-CN"/>
        </w:rPr>
        <w:t>法定代表人（签字或盖章）</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联系电话（传真）：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开户银行名称：                      </w:t>
      </w:r>
    </w:p>
    <w:p>
      <w:pPr>
        <w:spacing w:line="360" w:lineRule="auto"/>
        <w:rPr>
          <w:rFonts w:hint="eastAsia" w:ascii="仿宋" w:hAnsi="仿宋" w:eastAsia="仿宋" w:cs="仿宋"/>
          <w:color w:val="auto"/>
          <w:highlight w:val="none"/>
        </w:rPr>
      </w:pPr>
      <w:r>
        <w:rPr>
          <w:rFonts w:hint="eastAsia" w:ascii="仿宋" w:hAnsi="仿宋" w:eastAsia="仿宋" w:cs="仿宋"/>
          <w:color w:val="auto"/>
          <w:szCs w:val="21"/>
          <w:highlight w:val="none"/>
        </w:rPr>
        <w:t xml:space="preserve">开户银行账号（基本账户）： </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开户银行地址：</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开户银行电话：</w:t>
      </w:r>
    </w:p>
    <w:p>
      <w:pPr>
        <w:spacing w:line="360" w:lineRule="auto"/>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jc w:val="right"/>
        <w:rPr>
          <w:rFonts w:hint="eastAsia" w:ascii="仿宋" w:hAnsi="仿宋" w:eastAsia="仿宋" w:cs="仿宋"/>
          <w:color w:val="auto"/>
          <w:highlight w:val="none"/>
        </w:rPr>
      </w:pPr>
      <w:r>
        <w:rPr>
          <w:rFonts w:hint="eastAsia" w:ascii="仿宋" w:hAnsi="仿宋" w:eastAsia="仿宋" w:cs="仿宋"/>
          <w:b/>
          <w:color w:val="auto"/>
          <w:sz w:val="28"/>
          <w:szCs w:val="28"/>
          <w:highlight w:val="none"/>
        </w:rPr>
        <w:br w:type="page"/>
      </w:r>
    </w:p>
    <w:p>
      <w:pPr>
        <w:spacing w:line="360" w:lineRule="auto"/>
        <w:jc w:val="right"/>
        <w:rPr>
          <w:rFonts w:hint="eastAsia" w:ascii="仿宋" w:hAnsi="仿宋" w:eastAsia="仿宋" w:cs="仿宋"/>
          <w:color w:val="auto"/>
          <w:highlight w:val="none"/>
        </w:rPr>
      </w:pPr>
    </w:p>
    <w:p>
      <w:pPr>
        <w:spacing w:line="360" w:lineRule="auto"/>
        <w:jc w:val="right"/>
        <w:rPr>
          <w:rFonts w:hint="eastAsia" w:ascii="仿宋" w:hAnsi="仿宋" w:eastAsia="仿宋" w:cs="仿宋"/>
          <w:color w:val="auto"/>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标题</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项目编号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供应商（签章）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法定代表人或其代理人</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投标总价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供货期</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注：招标文件中关于供货期的要求具体详见“第三章合同条款前附表”</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授权代理人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bl>
    <w:p>
      <w:pPr>
        <w:widowControl/>
        <w:spacing w:line="360" w:lineRule="auto"/>
        <w:jc w:val="left"/>
        <w:rPr>
          <w:rFonts w:hint="eastAsia" w:ascii="仿宋" w:hAnsi="仿宋" w:eastAsia="仿宋" w:cs="仿宋"/>
          <w:color w:val="auto"/>
          <w:szCs w:val="18"/>
          <w:highlight w:val="none"/>
        </w:rPr>
      </w:pP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r>
        <w:rPr>
          <w:rFonts w:hint="eastAsia" w:ascii="仿宋" w:hAnsi="仿宋" w:eastAsia="仿宋" w:cs="仿宋"/>
          <w:color w:val="auto"/>
          <w:sz w:val="30"/>
          <w:szCs w:val="30"/>
          <w:highlight w:val="none"/>
        </w:rPr>
        <w:t>二、投标分项报价表（格式）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投标分项报价表</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24"/>
        <w:gridCol w:w="1221"/>
        <w:gridCol w:w="525"/>
        <w:gridCol w:w="525"/>
        <w:gridCol w:w="724"/>
        <w:gridCol w:w="1121"/>
        <w:gridCol w:w="625"/>
        <w:gridCol w:w="923"/>
        <w:gridCol w:w="724"/>
        <w:gridCol w:w="525"/>
        <w:gridCol w:w="525"/>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426"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号</w:t>
            </w:r>
          </w:p>
        </w:tc>
        <w:tc>
          <w:tcPr>
            <w:tcW w:w="724"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产品名称</w:t>
            </w:r>
          </w:p>
        </w:tc>
        <w:tc>
          <w:tcPr>
            <w:tcW w:w="1221"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货物名称及规格型号</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5167" w:type="dxa"/>
            <w:gridSpan w:val="7"/>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单价（元）</w:t>
            </w:r>
          </w:p>
        </w:tc>
        <w:tc>
          <w:tcPr>
            <w:tcW w:w="104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426" w:type="dxa"/>
            <w:vMerge w:val="continue"/>
            <w:noWrap w:val="0"/>
            <w:vAlign w:val="center"/>
          </w:tcPr>
          <w:p>
            <w:pPr>
              <w:jc w:val="center"/>
              <w:rPr>
                <w:rFonts w:hint="eastAsia" w:ascii="仿宋" w:hAnsi="仿宋" w:eastAsia="仿宋" w:cs="仿宋"/>
                <w:color w:val="auto"/>
                <w:szCs w:val="21"/>
                <w:highlight w:val="none"/>
              </w:rPr>
            </w:pPr>
          </w:p>
        </w:tc>
        <w:tc>
          <w:tcPr>
            <w:tcW w:w="724" w:type="dxa"/>
            <w:vMerge w:val="continue"/>
            <w:noWrap w:val="0"/>
            <w:vAlign w:val="center"/>
          </w:tcPr>
          <w:p>
            <w:pPr>
              <w:jc w:val="center"/>
              <w:rPr>
                <w:rFonts w:hint="eastAsia" w:ascii="仿宋" w:hAnsi="仿宋" w:eastAsia="仿宋" w:cs="仿宋"/>
                <w:color w:val="auto"/>
                <w:szCs w:val="21"/>
                <w:highlight w:val="none"/>
              </w:rPr>
            </w:pPr>
          </w:p>
        </w:tc>
        <w:tc>
          <w:tcPr>
            <w:tcW w:w="1221"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主机及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标准附件</w:t>
            </w:r>
          </w:p>
        </w:tc>
        <w:tc>
          <w:tcPr>
            <w:tcW w:w="1121"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备品备件专用工具</w:t>
            </w:r>
          </w:p>
        </w:tc>
        <w:tc>
          <w:tcPr>
            <w:tcW w:w="6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运杂费</w:t>
            </w:r>
          </w:p>
        </w:tc>
        <w:tc>
          <w:tcPr>
            <w:tcW w:w="923"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安装调试检验</w:t>
            </w: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培训及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技术服务</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小计</w:t>
            </w: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50" w:type="dxa"/>
            <w:gridSpan w:val="2"/>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投标报价</w:t>
            </w: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CN"/>
        </w:rPr>
        <w:t>法定代表人（签字或盖章）</w:t>
      </w:r>
      <w:r>
        <w:rPr>
          <w:rFonts w:hint="eastAsia" w:ascii="仿宋" w:hAnsi="仿宋" w:eastAsia="仿宋" w:cs="仿宋"/>
          <w:color w:val="auto"/>
          <w:highlight w:val="none"/>
        </w:rPr>
        <w:t xml:space="preserve"> </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1.如果按单价计算的结果与总价不一致，以单价为准修正总价。</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2.如果不提供详细分项报价或未按招标文件《采购需求一览表》中的产品名称提供详细分项报价，将视为没有实质性响应招标文件，作无效投标处理。</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3.上述单价为综合单价，应包含一切税费。</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4.供应商根据项目实际填写，表中单项，项目招标要求不涉及的可留空或自行调整。</w:t>
      </w:r>
    </w:p>
    <w:p>
      <w:pPr>
        <w:spacing w:line="360" w:lineRule="auto"/>
        <w:ind w:firstLine="422" w:firstLineChars="200"/>
        <w:rPr>
          <w:rFonts w:hint="eastAsia" w:ascii="仿宋" w:hAnsi="仿宋" w:eastAsia="仿宋" w:cs="仿宋"/>
          <w:color w:val="auto"/>
          <w:highlight w:val="none"/>
        </w:rPr>
      </w:pPr>
      <w:r>
        <w:rPr>
          <w:rFonts w:hint="eastAsia" w:ascii="仿宋" w:hAnsi="仿宋" w:eastAsia="仿宋" w:cs="仿宋"/>
          <w:b/>
          <w:color w:val="auto"/>
          <w:highlight w:val="none"/>
        </w:rPr>
        <w:t>5.表格不够可以自行加页；具体配置请供应商填写完全，没有填写完全的则按无此配置评标。</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color w:val="auto"/>
          <w:sz w:val="30"/>
          <w:szCs w:val="30"/>
          <w:highlight w:val="none"/>
        </w:rPr>
        <w:t>三、交货一览表（格式）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交货一览表</w:t>
      </w:r>
    </w:p>
    <w:tbl>
      <w:tblPr>
        <w:tblStyle w:val="17"/>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32"/>
        <w:gridCol w:w="653"/>
        <w:gridCol w:w="736"/>
        <w:gridCol w:w="1109"/>
        <w:gridCol w:w="851"/>
        <w:gridCol w:w="1363"/>
        <w:gridCol w:w="1007"/>
        <w:gridCol w:w="88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序号</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货物名称及规格型号</w:t>
            </w: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单位</w:t>
            </w: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数量</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产品品牌</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原产地</w:t>
            </w: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制造商名称</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执行质量标准</w:t>
            </w: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交货期</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1</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2</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3</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法定代表人（签字或盖章）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1.本表和投标分项报价表的序号、货物名称及规格型号、数量等应一致。</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2.供应商根据项目实际填写，表中单项，项目招标要求不涉及的可留空或自行调整。</w:t>
      </w:r>
    </w:p>
    <w:p>
      <w:pPr>
        <w:spacing w:line="360" w:lineRule="auto"/>
        <w:ind w:firstLine="42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highlight w:val="none"/>
          <w:lang w:bidi="ar"/>
        </w:rPr>
        <w:br w:type="page"/>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四</w:t>
      </w:r>
      <w:r>
        <w:rPr>
          <w:rFonts w:hint="eastAsia" w:ascii="仿宋" w:hAnsi="仿宋" w:eastAsia="仿宋" w:cs="仿宋"/>
          <w:color w:val="auto"/>
          <w:sz w:val="30"/>
          <w:szCs w:val="30"/>
          <w:highlight w:val="none"/>
        </w:rPr>
        <w:t>、资格证明文件（格式）</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供应商按招标公告及</w:t>
      </w:r>
      <w:r>
        <w:rPr>
          <w:rFonts w:hint="eastAsia" w:ascii="仿宋" w:hAnsi="仿宋" w:eastAsia="仿宋" w:cs="仿宋"/>
          <w:color w:val="auto"/>
          <w:highlight w:val="none"/>
          <w:lang w:val="en-US" w:eastAsia="zh-CN"/>
        </w:rPr>
        <w:t>供应商</w:t>
      </w:r>
      <w:r>
        <w:rPr>
          <w:rFonts w:hint="eastAsia" w:ascii="仿宋" w:hAnsi="仿宋" w:eastAsia="仿宋" w:cs="仿宋"/>
          <w:color w:val="auto"/>
          <w:highlight w:val="none"/>
        </w:rPr>
        <w:t>须知前附表要求提供证明材料，包括</w:t>
      </w:r>
      <w:r>
        <w:rPr>
          <w:rFonts w:hint="eastAsia" w:ascii="仿宋" w:hAnsi="仿宋" w:eastAsia="仿宋" w:cs="仿宋"/>
          <w:b/>
          <w:bCs/>
          <w:color w:val="auto"/>
          <w:highlight w:val="none"/>
        </w:rPr>
        <w:t>营业执照（副本）扫描件</w:t>
      </w:r>
      <w:r>
        <w:rPr>
          <w:rFonts w:hint="eastAsia" w:ascii="仿宋" w:hAnsi="仿宋" w:eastAsia="仿宋" w:cs="仿宋"/>
          <w:color w:val="auto"/>
          <w:highlight w:val="none"/>
        </w:rPr>
        <w:t>、</w:t>
      </w:r>
      <w:r>
        <w:rPr>
          <w:rFonts w:hint="eastAsia" w:ascii="仿宋" w:hAnsi="仿宋" w:eastAsia="仿宋" w:cs="仿宋"/>
          <w:b/>
          <w:bCs/>
          <w:color w:val="auto"/>
          <w:highlight w:val="none"/>
        </w:rPr>
        <w:t>资质证书（副本）扫描件</w:t>
      </w:r>
      <w:r>
        <w:rPr>
          <w:rFonts w:hint="eastAsia" w:ascii="仿宋" w:hAnsi="仿宋" w:eastAsia="仿宋" w:cs="仿宋"/>
          <w:color w:val="auto"/>
          <w:highlight w:val="none"/>
        </w:rPr>
        <w:t>等。</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法定代表人授权委托书</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（适用于授权委托人参加投标）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本授权委托书申明，我</w:t>
      </w:r>
      <w:r>
        <w:rPr>
          <w:rFonts w:hint="eastAsia" w:ascii="仿宋" w:hAnsi="仿宋" w:eastAsia="仿宋" w:cs="仿宋"/>
          <w:color w:val="auto"/>
          <w:highlight w:val="none"/>
          <w:u w:val="single"/>
        </w:rPr>
        <w:t>        (姓名)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的法定代表人，现授权委托</w:t>
      </w:r>
      <w:r>
        <w:rPr>
          <w:rFonts w:hint="eastAsia" w:ascii="仿宋" w:hAnsi="仿宋" w:eastAsia="仿宋" w:cs="仿宋"/>
          <w:color w:val="auto"/>
          <w:highlight w:val="none"/>
          <w:u w:val="single"/>
        </w:rPr>
        <w:t xml:space="preserve">                          (姓名) </w:t>
      </w:r>
      <w:r>
        <w:rPr>
          <w:rFonts w:hint="eastAsia" w:ascii="仿宋" w:hAnsi="仿宋" w:eastAsia="仿宋" w:cs="仿宋"/>
          <w:color w:val="auto"/>
          <w:highlight w:val="none"/>
        </w:rPr>
        <w:t>为我方代理人，参</w:t>
      </w:r>
      <w:r>
        <w:rPr>
          <w:rFonts w:hint="eastAsia" w:ascii="仿宋" w:hAnsi="仿宋" w:eastAsia="仿宋" w:cs="仿宋"/>
          <w:color w:val="auto"/>
          <w:highlight w:val="none"/>
          <w:u w:val="single"/>
        </w:rPr>
        <w:t xml:space="preserve">加             (招标人名称)                                     (项目名称) </w:t>
      </w:r>
      <w:r>
        <w:rPr>
          <w:rFonts w:hint="eastAsia" w:ascii="仿宋" w:hAnsi="仿宋" w:eastAsia="仿宋" w:cs="仿宋"/>
          <w:color w:val="auto"/>
          <w:highlight w:val="none"/>
        </w:rPr>
        <w:t>的投标活动。代理人在本项目的投标、开标、评标、合同谈判及合同的执行和保修保养时签署的一切文件和处理与之有关的一切事物，我均予以承认，并承担其法律后果。委托期限：自本委托书签发之日起，至本招标项目履约结束时止。</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代理人无转委托权，特此委托。</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（投标文件中须输入姓名）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代理人身份证号码：</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性别：</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年龄：</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(盖单位印章)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签字或盖</w:t>
      </w:r>
      <w:r>
        <w:rPr>
          <w:rFonts w:hint="eastAsia" w:ascii="仿宋" w:hAnsi="仿宋" w:eastAsia="仿宋" w:cs="仿宋"/>
          <w:color w:val="auto"/>
          <w:highlight w:val="none"/>
        </w:rPr>
        <w:t>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签发日期:     年   月  日         </w:t>
      </w:r>
    </w:p>
    <w:p>
      <w:pPr>
        <w:spacing w:line="360" w:lineRule="auto"/>
        <w:ind w:firstLine="643" w:firstLineChars="200"/>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w:t>
      </w:r>
      <w:r>
        <w:rPr>
          <w:rFonts w:hint="eastAsia" w:ascii="仿宋" w:hAnsi="仿宋" w:eastAsia="仿宋" w:cs="仿宋"/>
          <w:b/>
          <w:color w:val="auto"/>
          <w:sz w:val="28"/>
          <w:szCs w:val="28"/>
          <w:highlight w:val="none"/>
          <w:lang w:val="en-US" w:eastAsia="zh-CN"/>
        </w:rPr>
        <w:t>及</w:t>
      </w:r>
      <w:r>
        <w:rPr>
          <w:rFonts w:hint="eastAsia" w:ascii="仿宋" w:hAnsi="仿宋" w:eastAsia="仿宋" w:cs="仿宋"/>
          <w:b/>
          <w:color w:val="auto"/>
          <w:sz w:val="28"/>
          <w:szCs w:val="28"/>
          <w:highlight w:val="none"/>
        </w:rPr>
        <w:t>授权委托人身份证正反两面扫描件</w:t>
      </w: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32"/>
          <w:szCs w:val="32"/>
          <w:highlight w:val="none"/>
        </w:rPr>
        <w:br w:type="page"/>
      </w:r>
      <w:r>
        <w:rPr>
          <w:rFonts w:hint="eastAsia" w:ascii="仿宋" w:hAnsi="仿宋" w:eastAsia="仿宋" w:cs="仿宋"/>
          <w:b/>
          <w:color w:val="auto"/>
          <w:sz w:val="28"/>
          <w:szCs w:val="28"/>
          <w:highlight w:val="none"/>
        </w:rPr>
        <w:t>法定代表人证明</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（适用于法定代表人参加投标）</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（法定代表人姓名）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 xml:space="preserve">法定代表人，职务为 </w:t>
      </w:r>
      <w:r>
        <w:rPr>
          <w:rFonts w:hint="eastAsia" w:ascii="仿宋" w:hAnsi="仿宋" w:eastAsia="仿宋" w:cs="仿宋"/>
          <w:color w:val="auto"/>
          <w:highlight w:val="none"/>
          <w:u w:val="single"/>
        </w:rPr>
        <w:t xml:space="preserve">            （职务名称）</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特此证明。</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供应商全称 (盖单位印章)                                                    </w:t>
      </w: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ind w:firstLine="643" w:firstLineChars="200"/>
        <w:jc w:val="right"/>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须提供法定代表人身份证正反两面扫描件</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bCs/>
          <w:color w:val="auto"/>
          <w:szCs w:val="32"/>
          <w:highlight w:val="none"/>
          <w:lang w:val="en-US" w:eastAsia="zh-CN"/>
        </w:rPr>
        <w:t>五</w:t>
      </w:r>
      <w:r>
        <w:rPr>
          <w:rFonts w:hint="eastAsia" w:ascii="仿宋" w:hAnsi="仿宋" w:eastAsia="仿宋" w:cs="仿宋"/>
          <w:color w:val="auto"/>
          <w:sz w:val="30"/>
          <w:szCs w:val="30"/>
          <w:highlight w:val="none"/>
        </w:rPr>
        <w:t>、其他证明材料</w:t>
      </w:r>
    </w:p>
    <w:p>
      <w:pPr>
        <w:spacing w:line="360" w:lineRule="auto"/>
        <w:ind w:firstLine="422" w:firstLineChars="200"/>
        <w:rPr>
          <w:rFonts w:hint="eastAsia" w:ascii="仿宋" w:hAnsi="仿宋" w:eastAsia="仿宋" w:cs="仿宋"/>
          <w:b/>
          <w:bCs/>
          <w:color w:val="auto"/>
          <w:highlight w:val="none"/>
        </w:rPr>
      </w:pPr>
      <w:r>
        <w:rPr>
          <w:rFonts w:hint="eastAsia" w:ascii="仿宋" w:hAnsi="仿宋" w:eastAsia="仿宋" w:cs="仿宋"/>
          <w:b/>
          <w:bCs/>
          <w:color w:val="auto"/>
          <w:highlight w:val="none"/>
        </w:rPr>
        <w:t>1.供应商按招标文件《采购需求》及评标办法及评分规则要求提供证明材料。</w:t>
      </w:r>
    </w:p>
    <w:p>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highlight w:val="none"/>
        </w:rPr>
        <w:t>2.要求提供业绩的，必须根据要求自制业绩列表，并按业绩列表顺序提供证明材料。</w:t>
      </w:r>
    </w:p>
    <w:p>
      <w:pP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br w:type="page"/>
      </w:r>
    </w:p>
    <w:p>
      <w:pPr>
        <w:pStyle w:val="7"/>
        <w:spacing w:line="500" w:lineRule="exact"/>
        <w:jc w:val="both"/>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六</w:t>
      </w:r>
      <w:r>
        <w:rPr>
          <w:rFonts w:hint="eastAsia" w:ascii="仿宋" w:hAnsi="仿宋" w:eastAsia="仿宋" w:cs="仿宋"/>
          <w:color w:val="auto"/>
          <w:sz w:val="30"/>
          <w:szCs w:val="30"/>
          <w:highlight w:val="none"/>
        </w:rPr>
        <w:t>、澄清函</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澄清函（评标委员会要求供应商作出必要的澄清、说明或者补正）</w:t>
      </w:r>
    </w:p>
    <w:p>
      <w:pPr>
        <w:spacing w:line="360" w:lineRule="exact"/>
        <w:rPr>
          <w:rFonts w:hint="eastAsia" w:ascii="仿宋" w:hAnsi="仿宋" w:eastAsia="仿宋" w:cs="仿宋"/>
          <w:color w:val="auto"/>
          <w:highlight w:val="none"/>
        </w:rPr>
      </w:pPr>
    </w:p>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项目名称：               项目编号：     </w:t>
      </w:r>
    </w:p>
    <w:p>
      <w:pPr>
        <w:rPr>
          <w:rFonts w:hint="eastAsia" w:ascii="仿宋" w:hAnsi="仿宋" w:eastAsia="仿宋" w:cs="仿宋"/>
          <w:bCs/>
          <w:color w:val="auto"/>
          <w:sz w:val="24"/>
          <w:highlight w:val="none"/>
        </w:rPr>
      </w:pPr>
    </w:p>
    <w:tbl>
      <w:tblPr>
        <w:tblStyle w:val="17"/>
        <w:tblW w:w="0" w:type="auto"/>
        <w:tblInd w:w="96" w:type="dxa"/>
        <w:tblLayout w:type="fixed"/>
        <w:tblCellMar>
          <w:top w:w="0" w:type="dxa"/>
          <w:left w:w="108" w:type="dxa"/>
          <w:bottom w:w="0" w:type="dxa"/>
          <w:right w:w="108" w:type="dxa"/>
        </w:tblCellMar>
      </w:tblPr>
      <w:tblGrid>
        <w:gridCol w:w="1997"/>
        <w:gridCol w:w="7643"/>
      </w:tblGrid>
      <w:tr>
        <w:tblPrEx>
          <w:tblCellMar>
            <w:top w:w="0" w:type="dxa"/>
            <w:left w:w="108" w:type="dxa"/>
            <w:bottom w:w="0" w:type="dxa"/>
            <w:right w:w="108" w:type="dxa"/>
          </w:tblCellMar>
        </w:tblPrEx>
        <w:trPr>
          <w:trHeight w:val="2322" w:hRule="atLeast"/>
        </w:trPr>
        <w:tc>
          <w:tcPr>
            <w:tcW w:w="1997" w:type="dxa"/>
            <w:tcBorders>
              <w:top w:val="single" w:color="auto" w:sz="4" w:space="0"/>
              <w:left w:val="single" w:color="auto" w:sz="4" w:space="0"/>
              <w:bottom w:val="single" w:color="auto" w:sz="4" w:space="0"/>
              <w:right w:val="single" w:color="auto" w:sz="4" w:space="0"/>
            </w:tcBorders>
            <w:noWrap w:val="0"/>
            <w:textDirection w:val="tbRlV"/>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需澄清的内容</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供应商名称：</w:t>
            </w:r>
          </w:p>
        </w:tc>
      </w:tr>
      <w:tr>
        <w:tblPrEx>
          <w:tblCellMar>
            <w:top w:w="0" w:type="dxa"/>
            <w:left w:w="108" w:type="dxa"/>
            <w:bottom w:w="0" w:type="dxa"/>
            <w:right w:w="108" w:type="dxa"/>
          </w:tblCellMar>
        </w:tblPrEx>
        <w:trPr>
          <w:trHeight w:val="3975" w:hRule="atLeast"/>
        </w:trPr>
        <w:tc>
          <w:tcPr>
            <w:tcW w:w="1997" w:type="dxa"/>
            <w:vMerge w:val="restart"/>
            <w:tcBorders>
              <w:top w:val="nil"/>
              <w:left w:val="single" w:color="auto" w:sz="4" w:space="0"/>
              <w:bottom w:val="single" w:color="000000" w:sz="4" w:space="0"/>
              <w:right w:val="nil"/>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供应商说明并签字</w:t>
            </w:r>
          </w:p>
        </w:tc>
        <w:tc>
          <w:tcPr>
            <w:tcW w:w="7643"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供应商盖章，或者由法定代表人或其授权的代表签字：</w:t>
            </w:r>
          </w:p>
          <w:p>
            <w:pPr>
              <w:widowControl/>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日期：</w:t>
            </w:r>
          </w:p>
        </w:tc>
      </w:tr>
      <w:tr>
        <w:tblPrEx>
          <w:tblCellMar>
            <w:top w:w="0" w:type="dxa"/>
            <w:left w:w="108" w:type="dxa"/>
            <w:bottom w:w="0" w:type="dxa"/>
            <w:right w:w="108" w:type="dxa"/>
          </w:tblCellMar>
        </w:tblPrEx>
        <w:trPr>
          <w:trHeight w:val="570"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312"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243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评标委员会意见</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111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评标委员会签字</w:t>
            </w:r>
          </w:p>
        </w:tc>
        <w:tc>
          <w:tcPr>
            <w:tcW w:w="764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日期：</w:t>
            </w:r>
          </w:p>
        </w:tc>
      </w:tr>
    </w:tbl>
    <w:p>
      <w:pPr>
        <w:rPr>
          <w:rFonts w:hint="eastAsia" w:ascii="仿宋" w:hAnsi="仿宋" w:eastAsia="仿宋" w:cs="仿宋"/>
          <w:color w:val="auto"/>
          <w:highlight w:val="none"/>
        </w:rPr>
      </w:pPr>
    </w:p>
    <w:sectPr>
      <w:footerReference r:id="rId3" w:type="default"/>
      <w:pgSz w:w="11907" w:h="16840"/>
      <w:pgMar w:top="1440" w:right="1800" w:bottom="1276"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rPr>
        <w:rStyle w:val="21"/>
        <w:highlight w:val="white"/>
      </w:rPr>
      <w:instrText xml:space="preserve"> PAGE </w:instrText>
    </w:r>
    <w:r>
      <w:fldChar w:fldCharType="separate"/>
    </w:r>
    <w:r>
      <w:rPr>
        <w:rStyle w:val="21"/>
        <w:highlight w:val="white"/>
      </w:rPr>
      <w:t>74</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745" w:hanging="317"/>
        <w:jc w:val="left"/>
      </w:pPr>
      <w:rPr>
        <w:rFonts w:hint="default" w:ascii="宋体" w:hAnsi="宋体" w:eastAsia="宋体" w:cs="宋体"/>
        <w:spacing w:val="0"/>
        <w:w w:val="99"/>
        <w:sz w:val="21"/>
        <w:szCs w:val="21"/>
        <w:lang w:val="zh-CN" w:eastAsia="zh-CN" w:bidi="zh-CN"/>
      </w:rPr>
    </w:lvl>
    <w:lvl w:ilvl="1" w:tentative="0">
      <w:start w:val="0"/>
      <w:numFmt w:val="bullet"/>
      <w:lvlText w:val="•"/>
      <w:lvlJc w:val="left"/>
      <w:pPr>
        <w:ind w:left="1618" w:hanging="317"/>
      </w:pPr>
      <w:rPr>
        <w:rFonts w:hint="default"/>
        <w:lang w:val="zh-CN" w:eastAsia="zh-CN" w:bidi="zh-CN"/>
      </w:rPr>
    </w:lvl>
    <w:lvl w:ilvl="2" w:tentative="0">
      <w:start w:val="0"/>
      <w:numFmt w:val="bullet"/>
      <w:lvlText w:val="•"/>
      <w:lvlJc w:val="left"/>
      <w:pPr>
        <w:ind w:left="2497" w:hanging="317"/>
      </w:pPr>
      <w:rPr>
        <w:rFonts w:hint="default"/>
        <w:lang w:val="zh-CN" w:eastAsia="zh-CN" w:bidi="zh-CN"/>
      </w:rPr>
    </w:lvl>
    <w:lvl w:ilvl="3" w:tentative="0">
      <w:start w:val="0"/>
      <w:numFmt w:val="bullet"/>
      <w:lvlText w:val="•"/>
      <w:lvlJc w:val="left"/>
      <w:pPr>
        <w:ind w:left="3375" w:hanging="317"/>
      </w:pPr>
      <w:rPr>
        <w:rFonts w:hint="default"/>
        <w:lang w:val="zh-CN" w:eastAsia="zh-CN" w:bidi="zh-CN"/>
      </w:rPr>
    </w:lvl>
    <w:lvl w:ilvl="4" w:tentative="0">
      <w:start w:val="0"/>
      <w:numFmt w:val="bullet"/>
      <w:lvlText w:val="•"/>
      <w:lvlJc w:val="left"/>
      <w:pPr>
        <w:ind w:left="4254" w:hanging="317"/>
      </w:pPr>
      <w:rPr>
        <w:rFonts w:hint="default"/>
        <w:lang w:val="zh-CN" w:eastAsia="zh-CN" w:bidi="zh-CN"/>
      </w:rPr>
    </w:lvl>
    <w:lvl w:ilvl="5" w:tentative="0">
      <w:start w:val="0"/>
      <w:numFmt w:val="bullet"/>
      <w:lvlText w:val="•"/>
      <w:lvlJc w:val="left"/>
      <w:pPr>
        <w:ind w:left="5133" w:hanging="317"/>
      </w:pPr>
      <w:rPr>
        <w:rFonts w:hint="default"/>
        <w:lang w:val="zh-CN" w:eastAsia="zh-CN" w:bidi="zh-CN"/>
      </w:rPr>
    </w:lvl>
    <w:lvl w:ilvl="6" w:tentative="0">
      <w:start w:val="0"/>
      <w:numFmt w:val="bullet"/>
      <w:lvlText w:val="•"/>
      <w:lvlJc w:val="left"/>
      <w:pPr>
        <w:ind w:left="6011" w:hanging="317"/>
      </w:pPr>
      <w:rPr>
        <w:rFonts w:hint="default"/>
        <w:lang w:val="zh-CN" w:eastAsia="zh-CN" w:bidi="zh-CN"/>
      </w:rPr>
    </w:lvl>
    <w:lvl w:ilvl="7" w:tentative="0">
      <w:start w:val="0"/>
      <w:numFmt w:val="bullet"/>
      <w:lvlText w:val="•"/>
      <w:lvlJc w:val="left"/>
      <w:pPr>
        <w:ind w:left="6890" w:hanging="317"/>
      </w:pPr>
      <w:rPr>
        <w:rFonts w:hint="default"/>
        <w:lang w:val="zh-CN" w:eastAsia="zh-CN" w:bidi="zh-CN"/>
      </w:rPr>
    </w:lvl>
    <w:lvl w:ilvl="8" w:tentative="0">
      <w:start w:val="0"/>
      <w:numFmt w:val="bullet"/>
      <w:lvlText w:val="•"/>
      <w:lvlJc w:val="left"/>
      <w:pPr>
        <w:ind w:left="7768" w:hanging="317"/>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628" w:hanging="408"/>
        <w:jc w:val="left"/>
      </w:pPr>
      <w:rPr>
        <w:rFonts w:hint="default" w:ascii="Calibri" w:hAnsi="Calibri" w:eastAsia="Calibri" w:cs="Calibri"/>
        <w:b/>
        <w:bCs/>
        <w:spacing w:val="-1"/>
        <w:w w:val="99"/>
        <w:sz w:val="32"/>
        <w:szCs w:val="32"/>
        <w:lang w:val="zh-CN" w:eastAsia="zh-CN" w:bidi="zh-CN"/>
      </w:rPr>
    </w:lvl>
    <w:lvl w:ilvl="1" w:tentative="0">
      <w:start w:val="1"/>
      <w:numFmt w:val="decimal"/>
      <w:lvlText w:val="%1.%2"/>
      <w:lvlJc w:val="left"/>
      <w:pPr>
        <w:ind w:left="541" w:hanging="322"/>
        <w:jc w:val="left"/>
      </w:pPr>
      <w:rPr>
        <w:rFonts w:hint="default"/>
        <w:b/>
        <w:bCs/>
        <w:spacing w:val="-1"/>
        <w:w w:val="99"/>
        <w:lang w:val="zh-CN" w:eastAsia="zh-CN" w:bidi="zh-CN"/>
      </w:rPr>
    </w:lvl>
    <w:lvl w:ilvl="2" w:tentative="0">
      <w:start w:val="1"/>
      <w:numFmt w:val="decimal"/>
      <w:lvlText w:val="%3）"/>
      <w:lvlJc w:val="left"/>
      <w:pPr>
        <w:ind w:left="955" w:hanging="316"/>
        <w:jc w:val="left"/>
      </w:pPr>
      <w:rPr>
        <w:rFonts w:hint="default" w:ascii="宋体" w:hAnsi="宋体" w:eastAsia="宋体" w:cs="宋体"/>
        <w:spacing w:val="-1"/>
        <w:w w:val="99"/>
        <w:sz w:val="19"/>
        <w:szCs w:val="19"/>
        <w:lang w:val="zh-CN" w:eastAsia="zh-CN" w:bidi="zh-CN"/>
      </w:rPr>
    </w:lvl>
    <w:lvl w:ilvl="3" w:tentative="0">
      <w:start w:val="0"/>
      <w:numFmt w:val="bullet"/>
      <w:lvlText w:val="•"/>
      <w:lvlJc w:val="left"/>
      <w:pPr>
        <w:ind w:left="2030" w:hanging="316"/>
      </w:pPr>
      <w:rPr>
        <w:rFonts w:hint="default"/>
        <w:lang w:val="zh-CN" w:eastAsia="zh-CN" w:bidi="zh-CN"/>
      </w:rPr>
    </w:lvl>
    <w:lvl w:ilvl="4" w:tentative="0">
      <w:start w:val="0"/>
      <w:numFmt w:val="bullet"/>
      <w:lvlText w:val="•"/>
      <w:lvlJc w:val="left"/>
      <w:pPr>
        <w:ind w:left="3101" w:hanging="316"/>
      </w:pPr>
      <w:rPr>
        <w:rFonts w:hint="default"/>
        <w:lang w:val="zh-CN" w:eastAsia="zh-CN" w:bidi="zh-CN"/>
      </w:rPr>
    </w:lvl>
    <w:lvl w:ilvl="5" w:tentative="0">
      <w:start w:val="0"/>
      <w:numFmt w:val="bullet"/>
      <w:lvlText w:val="•"/>
      <w:lvlJc w:val="left"/>
      <w:pPr>
        <w:ind w:left="4172" w:hanging="316"/>
      </w:pPr>
      <w:rPr>
        <w:rFonts w:hint="default"/>
        <w:lang w:val="zh-CN" w:eastAsia="zh-CN" w:bidi="zh-CN"/>
      </w:rPr>
    </w:lvl>
    <w:lvl w:ilvl="6" w:tentative="0">
      <w:start w:val="0"/>
      <w:numFmt w:val="bullet"/>
      <w:lvlText w:val="•"/>
      <w:lvlJc w:val="left"/>
      <w:pPr>
        <w:ind w:left="5243" w:hanging="316"/>
      </w:pPr>
      <w:rPr>
        <w:rFonts w:hint="default"/>
        <w:lang w:val="zh-CN" w:eastAsia="zh-CN" w:bidi="zh-CN"/>
      </w:rPr>
    </w:lvl>
    <w:lvl w:ilvl="7" w:tentative="0">
      <w:start w:val="0"/>
      <w:numFmt w:val="bullet"/>
      <w:lvlText w:val="•"/>
      <w:lvlJc w:val="left"/>
      <w:pPr>
        <w:ind w:left="6313" w:hanging="316"/>
      </w:pPr>
      <w:rPr>
        <w:rFonts w:hint="default"/>
        <w:lang w:val="zh-CN" w:eastAsia="zh-CN" w:bidi="zh-CN"/>
      </w:rPr>
    </w:lvl>
    <w:lvl w:ilvl="8" w:tentative="0">
      <w:start w:val="0"/>
      <w:numFmt w:val="bullet"/>
      <w:lvlText w:val="•"/>
      <w:lvlJc w:val="left"/>
      <w:pPr>
        <w:ind w:left="7384" w:hanging="316"/>
      </w:pPr>
      <w:rPr>
        <w:rFonts w:hint="default"/>
        <w:lang w:val="zh-CN" w:eastAsia="zh-CN" w:bidi="zh-CN"/>
      </w:rPr>
    </w:lvl>
  </w:abstractNum>
  <w:abstractNum w:abstractNumId="2">
    <w:nsid w:val="03D62ECE"/>
    <w:multiLevelType w:val="multilevel"/>
    <w:tmpl w:val="03D62ECE"/>
    <w:lvl w:ilvl="0" w:tentative="0">
      <w:start w:val="1"/>
      <w:numFmt w:val="decimal"/>
      <w:lvlText w:val="%1）"/>
      <w:lvlJc w:val="left"/>
      <w:pPr>
        <w:ind w:left="701" w:hanging="361"/>
        <w:jc w:val="left"/>
      </w:pPr>
      <w:rPr>
        <w:rFonts w:hint="default" w:ascii="Calibri" w:hAnsi="Calibri" w:eastAsia="Calibri" w:cs="Calibri"/>
        <w:spacing w:val="-2"/>
        <w:w w:val="100"/>
        <w:sz w:val="22"/>
        <w:szCs w:val="22"/>
        <w:lang w:val="zh-CN" w:eastAsia="zh-CN" w:bidi="zh-CN"/>
      </w:rPr>
    </w:lvl>
    <w:lvl w:ilvl="1" w:tentative="0">
      <w:start w:val="0"/>
      <w:numFmt w:val="bullet"/>
      <w:lvlText w:val="•"/>
      <w:lvlJc w:val="left"/>
      <w:pPr>
        <w:ind w:left="1582" w:hanging="361"/>
      </w:pPr>
      <w:rPr>
        <w:rFonts w:hint="default"/>
        <w:lang w:val="zh-CN" w:eastAsia="zh-CN" w:bidi="zh-CN"/>
      </w:rPr>
    </w:lvl>
    <w:lvl w:ilvl="2" w:tentative="0">
      <w:start w:val="0"/>
      <w:numFmt w:val="bullet"/>
      <w:lvlText w:val="•"/>
      <w:lvlJc w:val="left"/>
      <w:pPr>
        <w:ind w:left="2465" w:hanging="361"/>
      </w:pPr>
      <w:rPr>
        <w:rFonts w:hint="default"/>
        <w:lang w:val="zh-CN" w:eastAsia="zh-CN" w:bidi="zh-CN"/>
      </w:rPr>
    </w:lvl>
    <w:lvl w:ilvl="3" w:tentative="0">
      <w:start w:val="0"/>
      <w:numFmt w:val="bullet"/>
      <w:lvlText w:val="•"/>
      <w:lvlJc w:val="left"/>
      <w:pPr>
        <w:ind w:left="3347" w:hanging="361"/>
      </w:pPr>
      <w:rPr>
        <w:rFonts w:hint="default"/>
        <w:lang w:val="zh-CN" w:eastAsia="zh-CN" w:bidi="zh-CN"/>
      </w:rPr>
    </w:lvl>
    <w:lvl w:ilvl="4" w:tentative="0">
      <w:start w:val="0"/>
      <w:numFmt w:val="bullet"/>
      <w:lvlText w:val="•"/>
      <w:lvlJc w:val="left"/>
      <w:pPr>
        <w:ind w:left="4230" w:hanging="361"/>
      </w:pPr>
      <w:rPr>
        <w:rFonts w:hint="default"/>
        <w:lang w:val="zh-CN" w:eastAsia="zh-CN" w:bidi="zh-CN"/>
      </w:rPr>
    </w:lvl>
    <w:lvl w:ilvl="5" w:tentative="0">
      <w:start w:val="0"/>
      <w:numFmt w:val="bullet"/>
      <w:lvlText w:val="•"/>
      <w:lvlJc w:val="left"/>
      <w:pPr>
        <w:ind w:left="5113" w:hanging="361"/>
      </w:pPr>
      <w:rPr>
        <w:rFonts w:hint="default"/>
        <w:lang w:val="zh-CN" w:eastAsia="zh-CN" w:bidi="zh-CN"/>
      </w:rPr>
    </w:lvl>
    <w:lvl w:ilvl="6" w:tentative="0">
      <w:start w:val="0"/>
      <w:numFmt w:val="bullet"/>
      <w:lvlText w:val="•"/>
      <w:lvlJc w:val="left"/>
      <w:pPr>
        <w:ind w:left="5995" w:hanging="361"/>
      </w:pPr>
      <w:rPr>
        <w:rFonts w:hint="default"/>
        <w:lang w:val="zh-CN" w:eastAsia="zh-CN" w:bidi="zh-CN"/>
      </w:rPr>
    </w:lvl>
    <w:lvl w:ilvl="7" w:tentative="0">
      <w:start w:val="0"/>
      <w:numFmt w:val="bullet"/>
      <w:lvlText w:val="•"/>
      <w:lvlJc w:val="left"/>
      <w:pPr>
        <w:ind w:left="6878" w:hanging="361"/>
      </w:pPr>
      <w:rPr>
        <w:rFonts w:hint="default"/>
        <w:lang w:val="zh-CN" w:eastAsia="zh-CN" w:bidi="zh-CN"/>
      </w:rPr>
    </w:lvl>
    <w:lvl w:ilvl="8" w:tentative="0">
      <w:start w:val="0"/>
      <w:numFmt w:val="bullet"/>
      <w:lvlText w:val="•"/>
      <w:lvlJc w:val="left"/>
      <w:pPr>
        <w:ind w:left="7760" w:hanging="361"/>
      </w:pPr>
      <w:rPr>
        <w:rFonts w:hint="default"/>
        <w:lang w:val="zh-CN" w:eastAsia="zh-CN" w:bidi="zh-CN"/>
      </w:rPr>
    </w:lvl>
  </w:abstractNum>
  <w:abstractNum w:abstractNumId="3">
    <w:nsid w:val="25B654F3"/>
    <w:multiLevelType w:val="multilevel"/>
    <w:tmpl w:val="25B654F3"/>
    <w:lvl w:ilvl="0" w:tentative="0">
      <w:start w:val="1"/>
      <w:numFmt w:val="decimal"/>
      <w:lvlText w:val="%1）"/>
      <w:lvlJc w:val="left"/>
      <w:pPr>
        <w:ind w:left="581" w:hanging="361"/>
        <w:jc w:val="left"/>
      </w:pPr>
      <w:rPr>
        <w:rFonts w:hint="default" w:ascii="Calibri" w:hAnsi="Calibri" w:eastAsia="Calibri" w:cs="Calibri"/>
        <w:spacing w:val="-60"/>
        <w:w w:val="100"/>
        <w:sz w:val="22"/>
        <w:szCs w:val="22"/>
        <w:lang w:val="zh-CN" w:eastAsia="zh-CN" w:bidi="zh-CN"/>
      </w:rPr>
    </w:lvl>
    <w:lvl w:ilvl="1" w:tentative="0">
      <w:start w:val="0"/>
      <w:numFmt w:val="bullet"/>
      <w:lvlText w:val="•"/>
      <w:lvlJc w:val="left"/>
      <w:pPr>
        <w:ind w:left="1474" w:hanging="361"/>
      </w:pPr>
      <w:rPr>
        <w:rFonts w:hint="default"/>
        <w:lang w:val="zh-CN" w:eastAsia="zh-CN" w:bidi="zh-CN"/>
      </w:rPr>
    </w:lvl>
    <w:lvl w:ilvl="2" w:tentative="0">
      <w:start w:val="0"/>
      <w:numFmt w:val="bullet"/>
      <w:lvlText w:val="•"/>
      <w:lvlJc w:val="left"/>
      <w:pPr>
        <w:ind w:left="2369" w:hanging="361"/>
      </w:pPr>
      <w:rPr>
        <w:rFonts w:hint="default"/>
        <w:lang w:val="zh-CN" w:eastAsia="zh-CN" w:bidi="zh-CN"/>
      </w:rPr>
    </w:lvl>
    <w:lvl w:ilvl="3" w:tentative="0">
      <w:start w:val="0"/>
      <w:numFmt w:val="bullet"/>
      <w:lvlText w:val="•"/>
      <w:lvlJc w:val="left"/>
      <w:pPr>
        <w:ind w:left="3263" w:hanging="361"/>
      </w:pPr>
      <w:rPr>
        <w:rFonts w:hint="default"/>
        <w:lang w:val="zh-CN" w:eastAsia="zh-CN" w:bidi="zh-CN"/>
      </w:rPr>
    </w:lvl>
    <w:lvl w:ilvl="4" w:tentative="0">
      <w:start w:val="0"/>
      <w:numFmt w:val="bullet"/>
      <w:lvlText w:val="•"/>
      <w:lvlJc w:val="left"/>
      <w:pPr>
        <w:ind w:left="4158" w:hanging="361"/>
      </w:pPr>
      <w:rPr>
        <w:rFonts w:hint="default"/>
        <w:lang w:val="zh-CN" w:eastAsia="zh-CN" w:bidi="zh-CN"/>
      </w:rPr>
    </w:lvl>
    <w:lvl w:ilvl="5" w:tentative="0">
      <w:start w:val="0"/>
      <w:numFmt w:val="bullet"/>
      <w:lvlText w:val="•"/>
      <w:lvlJc w:val="left"/>
      <w:pPr>
        <w:ind w:left="5053" w:hanging="361"/>
      </w:pPr>
      <w:rPr>
        <w:rFonts w:hint="default"/>
        <w:lang w:val="zh-CN" w:eastAsia="zh-CN" w:bidi="zh-CN"/>
      </w:rPr>
    </w:lvl>
    <w:lvl w:ilvl="6" w:tentative="0">
      <w:start w:val="0"/>
      <w:numFmt w:val="bullet"/>
      <w:lvlText w:val="•"/>
      <w:lvlJc w:val="left"/>
      <w:pPr>
        <w:ind w:left="5947" w:hanging="361"/>
      </w:pPr>
      <w:rPr>
        <w:rFonts w:hint="default"/>
        <w:lang w:val="zh-CN" w:eastAsia="zh-CN" w:bidi="zh-CN"/>
      </w:rPr>
    </w:lvl>
    <w:lvl w:ilvl="7" w:tentative="0">
      <w:start w:val="0"/>
      <w:numFmt w:val="bullet"/>
      <w:lvlText w:val="•"/>
      <w:lvlJc w:val="left"/>
      <w:pPr>
        <w:ind w:left="6842" w:hanging="361"/>
      </w:pPr>
      <w:rPr>
        <w:rFonts w:hint="default"/>
        <w:lang w:val="zh-CN" w:eastAsia="zh-CN" w:bidi="zh-CN"/>
      </w:rPr>
    </w:lvl>
    <w:lvl w:ilvl="8" w:tentative="0">
      <w:start w:val="0"/>
      <w:numFmt w:val="bullet"/>
      <w:lvlText w:val="•"/>
      <w:lvlJc w:val="left"/>
      <w:pPr>
        <w:ind w:left="7736" w:hanging="361"/>
      </w:pPr>
      <w:rPr>
        <w:rFonts w:hint="default"/>
        <w:lang w:val="zh-CN" w:eastAsia="zh-CN" w:bidi="zh-CN"/>
      </w:rPr>
    </w:lvl>
  </w:abstractNum>
  <w:abstractNum w:abstractNumId="4">
    <w:nsid w:val="59ADCABA"/>
    <w:multiLevelType w:val="multilevel"/>
    <w:tmpl w:val="59ADCABA"/>
    <w:lvl w:ilvl="0" w:tentative="0">
      <w:start w:val="2"/>
      <w:numFmt w:val="decimal"/>
      <w:lvlText w:val="%1."/>
      <w:lvlJc w:val="left"/>
      <w:pPr>
        <w:ind w:left="628" w:hanging="408"/>
        <w:jc w:val="left"/>
      </w:pPr>
      <w:rPr>
        <w:rFonts w:hint="default"/>
        <w:b/>
        <w:bCs/>
        <w:spacing w:val="-1"/>
        <w:w w:val="99"/>
        <w:lang w:val="zh-CN" w:eastAsia="zh-CN" w:bidi="zh-CN"/>
      </w:rPr>
    </w:lvl>
    <w:lvl w:ilvl="1" w:tentative="0">
      <w:start w:val="1"/>
      <w:numFmt w:val="decimal"/>
      <w:lvlText w:val="%1.%2"/>
      <w:lvlJc w:val="left"/>
      <w:pPr>
        <w:ind w:left="587" w:hanging="368"/>
        <w:jc w:val="left"/>
      </w:pPr>
      <w:rPr>
        <w:rFonts w:hint="default"/>
        <w:u w:val="single" w:color="000000"/>
        <w:lang w:val="zh-CN" w:eastAsia="zh-CN" w:bidi="zh-CN"/>
      </w:rPr>
    </w:lvl>
    <w:lvl w:ilvl="2" w:tentative="0">
      <w:start w:val="1"/>
      <w:numFmt w:val="decimal"/>
      <w:lvlText w:val="%3）"/>
      <w:lvlJc w:val="left"/>
      <w:pPr>
        <w:ind w:left="701" w:hanging="361"/>
        <w:jc w:val="left"/>
      </w:pPr>
      <w:rPr>
        <w:rFonts w:hint="default" w:ascii="Calibri" w:hAnsi="Calibri" w:eastAsia="Calibri" w:cs="Calibri"/>
        <w:spacing w:val="-8"/>
        <w:w w:val="100"/>
        <w:sz w:val="22"/>
        <w:szCs w:val="22"/>
        <w:lang w:val="zh-CN" w:eastAsia="zh-CN" w:bidi="zh-CN"/>
      </w:rPr>
    </w:lvl>
    <w:lvl w:ilvl="3" w:tentative="0">
      <w:start w:val="0"/>
      <w:numFmt w:val="bullet"/>
      <w:lvlText w:val="•"/>
      <w:lvlJc w:val="left"/>
      <w:pPr>
        <w:ind w:left="700" w:hanging="361"/>
      </w:pPr>
      <w:rPr>
        <w:rFonts w:hint="default"/>
        <w:lang w:val="zh-CN" w:eastAsia="zh-CN" w:bidi="zh-CN"/>
      </w:rPr>
    </w:lvl>
    <w:lvl w:ilvl="4" w:tentative="0">
      <w:start w:val="0"/>
      <w:numFmt w:val="bullet"/>
      <w:lvlText w:val="•"/>
      <w:lvlJc w:val="left"/>
      <w:pPr>
        <w:ind w:left="1960" w:hanging="361"/>
      </w:pPr>
      <w:rPr>
        <w:rFonts w:hint="default"/>
        <w:lang w:val="zh-CN" w:eastAsia="zh-CN" w:bidi="zh-CN"/>
      </w:rPr>
    </w:lvl>
    <w:lvl w:ilvl="5" w:tentative="0">
      <w:start w:val="0"/>
      <w:numFmt w:val="bullet"/>
      <w:lvlText w:val="•"/>
      <w:lvlJc w:val="left"/>
      <w:pPr>
        <w:ind w:left="3221" w:hanging="361"/>
      </w:pPr>
      <w:rPr>
        <w:rFonts w:hint="default"/>
        <w:lang w:val="zh-CN" w:eastAsia="zh-CN" w:bidi="zh-CN"/>
      </w:rPr>
    </w:lvl>
    <w:lvl w:ilvl="6" w:tentative="0">
      <w:start w:val="0"/>
      <w:numFmt w:val="bullet"/>
      <w:lvlText w:val="•"/>
      <w:lvlJc w:val="left"/>
      <w:pPr>
        <w:ind w:left="4482" w:hanging="361"/>
      </w:pPr>
      <w:rPr>
        <w:rFonts w:hint="default"/>
        <w:lang w:val="zh-CN" w:eastAsia="zh-CN" w:bidi="zh-CN"/>
      </w:rPr>
    </w:lvl>
    <w:lvl w:ilvl="7" w:tentative="0">
      <w:start w:val="0"/>
      <w:numFmt w:val="bullet"/>
      <w:lvlText w:val="•"/>
      <w:lvlJc w:val="left"/>
      <w:pPr>
        <w:ind w:left="5743" w:hanging="361"/>
      </w:pPr>
      <w:rPr>
        <w:rFonts w:hint="default"/>
        <w:lang w:val="zh-CN" w:eastAsia="zh-CN" w:bidi="zh-CN"/>
      </w:rPr>
    </w:lvl>
    <w:lvl w:ilvl="8" w:tentative="0">
      <w:start w:val="0"/>
      <w:numFmt w:val="bullet"/>
      <w:lvlText w:val="•"/>
      <w:lvlJc w:val="left"/>
      <w:pPr>
        <w:ind w:left="7004" w:hanging="361"/>
      </w:pPr>
      <w:rPr>
        <w:rFonts w:hint="default"/>
        <w:lang w:val="zh-CN" w:eastAsia="zh-CN" w:bidi="zh-CN"/>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yOTNkNjRhOTk1MTk0YThjNDFkNWY3MDBkY2M1Y2EifQ=="/>
  </w:docVars>
  <w:rsids>
    <w:rsidRoot w:val="70335BE5"/>
    <w:rsid w:val="00407455"/>
    <w:rsid w:val="006421B1"/>
    <w:rsid w:val="015B0659"/>
    <w:rsid w:val="015B4ED6"/>
    <w:rsid w:val="01680A34"/>
    <w:rsid w:val="01FB4AEA"/>
    <w:rsid w:val="02025C09"/>
    <w:rsid w:val="02065CF6"/>
    <w:rsid w:val="02226B8C"/>
    <w:rsid w:val="02347263"/>
    <w:rsid w:val="02CE688C"/>
    <w:rsid w:val="032D4760"/>
    <w:rsid w:val="036F3E2C"/>
    <w:rsid w:val="03BD3D35"/>
    <w:rsid w:val="03E54D09"/>
    <w:rsid w:val="044129BE"/>
    <w:rsid w:val="05BF7399"/>
    <w:rsid w:val="079970C8"/>
    <w:rsid w:val="08086930"/>
    <w:rsid w:val="08142C41"/>
    <w:rsid w:val="08A232E4"/>
    <w:rsid w:val="08C00BE2"/>
    <w:rsid w:val="09C45DD3"/>
    <w:rsid w:val="0A6E3990"/>
    <w:rsid w:val="0A70708C"/>
    <w:rsid w:val="0AC477B5"/>
    <w:rsid w:val="0AF516A3"/>
    <w:rsid w:val="0B0B0B75"/>
    <w:rsid w:val="0C66691B"/>
    <w:rsid w:val="0C954D70"/>
    <w:rsid w:val="0DE613E3"/>
    <w:rsid w:val="0E8D0E12"/>
    <w:rsid w:val="0E930401"/>
    <w:rsid w:val="0EB83A3C"/>
    <w:rsid w:val="0EBB36ED"/>
    <w:rsid w:val="0F053FD7"/>
    <w:rsid w:val="0F2403D3"/>
    <w:rsid w:val="0F98438A"/>
    <w:rsid w:val="0FB234DC"/>
    <w:rsid w:val="0FB56DA3"/>
    <w:rsid w:val="0FDD0E8D"/>
    <w:rsid w:val="0FDF5650"/>
    <w:rsid w:val="106E535E"/>
    <w:rsid w:val="10C46754"/>
    <w:rsid w:val="118F1867"/>
    <w:rsid w:val="11B9415F"/>
    <w:rsid w:val="11C01723"/>
    <w:rsid w:val="12E23953"/>
    <w:rsid w:val="12FD27CB"/>
    <w:rsid w:val="148B26F0"/>
    <w:rsid w:val="14B04B54"/>
    <w:rsid w:val="15C230F1"/>
    <w:rsid w:val="15ED2BF4"/>
    <w:rsid w:val="15EF109A"/>
    <w:rsid w:val="16125616"/>
    <w:rsid w:val="16345E62"/>
    <w:rsid w:val="163E43EA"/>
    <w:rsid w:val="16932C54"/>
    <w:rsid w:val="16C529CE"/>
    <w:rsid w:val="16F81949"/>
    <w:rsid w:val="17084BFA"/>
    <w:rsid w:val="17821581"/>
    <w:rsid w:val="179C1EF4"/>
    <w:rsid w:val="18252C90"/>
    <w:rsid w:val="18874734"/>
    <w:rsid w:val="18BD033C"/>
    <w:rsid w:val="199D182F"/>
    <w:rsid w:val="19C914DB"/>
    <w:rsid w:val="19D90418"/>
    <w:rsid w:val="1A1E2787"/>
    <w:rsid w:val="1A3927B1"/>
    <w:rsid w:val="1B562679"/>
    <w:rsid w:val="1BB0548B"/>
    <w:rsid w:val="1BE707CE"/>
    <w:rsid w:val="1C040448"/>
    <w:rsid w:val="1C2432F9"/>
    <w:rsid w:val="1C9F4790"/>
    <w:rsid w:val="1D061601"/>
    <w:rsid w:val="1D8E485B"/>
    <w:rsid w:val="1D8E54B6"/>
    <w:rsid w:val="1EBD3EC7"/>
    <w:rsid w:val="1F47652A"/>
    <w:rsid w:val="1FEB2CEC"/>
    <w:rsid w:val="20D376BF"/>
    <w:rsid w:val="21527F1C"/>
    <w:rsid w:val="226B5FAF"/>
    <w:rsid w:val="22BD2102"/>
    <w:rsid w:val="2340062D"/>
    <w:rsid w:val="234B316F"/>
    <w:rsid w:val="23744D47"/>
    <w:rsid w:val="23BB2620"/>
    <w:rsid w:val="23E00E2D"/>
    <w:rsid w:val="23EC1490"/>
    <w:rsid w:val="24901D80"/>
    <w:rsid w:val="24B24AB7"/>
    <w:rsid w:val="24F42615"/>
    <w:rsid w:val="25525C4A"/>
    <w:rsid w:val="25623EBF"/>
    <w:rsid w:val="256C4AEF"/>
    <w:rsid w:val="2598781E"/>
    <w:rsid w:val="26284737"/>
    <w:rsid w:val="26645DC2"/>
    <w:rsid w:val="268B3EAE"/>
    <w:rsid w:val="269A2444"/>
    <w:rsid w:val="271C7615"/>
    <w:rsid w:val="27782106"/>
    <w:rsid w:val="278147C0"/>
    <w:rsid w:val="28E209E7"/>
    <w:rsid w:val="292D061F"/>
    <w:rsid w:val="29555E7E"/>
    <w:rsid w:val="29877EA4"/>
    <w:rsid w:val="2AE361D4"/>
    <w:rsid w:val="2B2350CE"/>
    <w:rsid w:val="2B5B3E66"/>
    <w:rsid w:val="2B933830"/>
    <w:rsid w:val="2BD31A99"/>
    <w:rsid w:val="2C0322D0"/>
    <w:rsid w:val="2C3928E0"/>
    <w:rsid w:val="2C531E8C"/>
    <w:rsid w:val="2C751002"/>
    <w:rsid w:val="2CA01BC8"/>
    <w:rsid w:val="2D375A4E"/>
    <w:rsid w:val="2F09735C"/>
    <w:rsid w:val="2FF54C42"/>
    <w:rsid w:val="30555056"/>
    <w:rsid w:val="307613C9"/>
    <w:rsid w:val="30847806"/>
    <w:rsid w:val="317253BD"/>
    <w:rsid w:val="319C59AA"/>
    <w:rsid w:val="31D01EB0"/>
    <w:rsid w:val="31EA03AA"/>
    <w:rsid w:val="332E70D3"/>
    <w:rsid w:val="33B10912"/>
    <w:rsid w:val="33DA251E"/>
    <w:rsid w:val="35CF35CA"/>
    <w:rsid w:val="36323C57"/>
    <w:rsid w:val="36DB5FAC"/>
    <w:rsid w:val="37125B5E"/>
    <w:rsid w:val="37F91106"/>
    <w:rsid w:val="385F0BCE"/>
    <w:rsid w:val="38DC383C"/>
    <w:rsid w:val="39737B98"/>
    <w:rsid w:val="3A3A2CE3"/>
    <w:rsid w:val="3A4F3DDE"/>
    <w:rsid w:val="3ABC275E"/>
    <w:rsid w:val="3B1013B9"/>
    <w:rsid w:val="3B19797F"/>
    <w:rsid w:val="3B6D4A02"/>
    <w:rsid w:val="3BA31A14"/>
    <w:rsid w:val="3BF67528"/>
    <w:rsid w:val="3D5D2977"/>
    <w:rsid w:val="3DC15BF5"/>
    <w:rsid w:val="3F3132C3"/>
    <w:rsid w:val="3F5F1D03"/>
    <w:rsid w:val="3FD449DC"/>
    <w:rsid w:val="400448D0"/>
    <w:rsid w:val="400A237E"/>
    <w:rsid w:val="401D36A4"/>
    <w:rsid w:val="41734263"/>
    <w:rsid w:val="41994BE9"/>
    <w:rsid w:val="419D5A66"/>
    <w:rsid w:val="41EE3D76"/>
    <w:rsid w:val="420C3CE6"/>
    <w:rsid w:val="42207741"/>
    <w:rsid w:val="42B243E2"/>
    <w:rsid w:val="43BB3027"/>
    <w:rsid w:val="445D46DC"/>
    <w:rsid w:val="461F3F23"/>
    <w:rsid w:val="467D6FC1"/>
    <w:rsid w:val="46D07828"/>
    <w:rsid w:val="47423C96"/>
    <w:rsid w:val="47F868D0"/>
    <w:rsid w:val="47FF1160"/>
    <w:rsid w:val="48552A95"/>
    <w:rsid w:val="488A29BC"/>
    <w:rsid w:val="49270A0E"/>
    <w:rsid w:val="49530196"/>
    <w:rsid w:val="496B01E0"/>
    <w:rsid w:val="4A214D31"/>
    <w:rsid w:val="4A925339"/>
    <w:rsid w:val="4AAE5753"/>
    <w:rsid w:val="4B3A63B8"/>
    <w:rsid w:val="4C1F3D1E"/>
    <w:rsid w:val="4C6060CB"/>
    <w:rsid w:val="4DFC73F6"/>
    <w:rsid w:val="4E2932EA"/>
    <w:rsid w:val="4E444299"/>
    <w:rsid w:val="4E9527DF"/>
    <w:rsid w:val="4ECA2C32"/>
    <w:rsid w:val="4F096CDF"/>
    <w:rsid w:val="4F4C4BDC"/>
    <w:rsid w:val="4F9B5001"/>
    <w:rsid w:val="5035765B"/>
    <w:rsid w:val="50A674DD"/>
    <w:rsid w:val="50DF0C63"/>
    <w:rsid w:val="51D13A27"/>
    <w:rsid w:val="525B06C9"/>
    <w:rsid w:val="52B16299"/>
    <w:rsid w:val="535D7149"/>
    <w:rsid w:val="536A123C"/>
    <w:rsid w:val="536F451C"/>
    <w:rsid w:val="53D244DB"/>
    <w:rsid w:val="53D80D9B"/>
    <w:rsid w:val="53DB31B6"/>
    <w:rsid w:val="542D7E23"/>
    <w:rsid w:val="54784166"/>
    <w:rsid w:val="54A6761A"/>
    <w:rsid w:val="556064B0"/>
    <w:rsid w:val="557C1AF7"/>
    <w:rsid w:val="578D6167"/>
    <w:rsid w:val="57CA46D6"/>
    <w:rsid w:val="58453A2F"/>
    <w:rsid w:val="5882548F"/>
    <w:rsid w:val="58B70261"/>
    <w:rsid w:val="597577B5"/>
    <w:rsid w:val="5A112694"/>
    <w:rsid w:val="5A8B77E2"/>
    <w:rsid w:val="5AA83C68"/>
    <w:rsid w:val="5AB973C8"/>
    <w:rsid w:val="5AE23E21"/>
    <w:rsid w:val="5B225A35"/>
    <w:rsid w:val="5B654F8E"/>
    <w:rsid w:val="5B956CDD"/>
    <w:rsid w:val="5BC0193E"/>
    <w:rsid w:val="5BDE39E3"/>
    <w:rsid w:val="5CA44FA6"/>
    <w:rsid w:val="5CD06C40"/>
    <w:rsid w:val="5CD322A6"/>
    <w:rsid w:val="5CF15961"/>
    <w:rsid w:val="5CF921F9"/>
    <w:rsid w:val="5D2C5A59"/>
    <w:rsid w:val="5D627A90"/>
    <w:rsid w:val="5D8B1171"/>
    <w:rsid w:val="5DA54E35"/>
    <w:rsid w:val="5DB85BE7"/>
    <w:rsid w:val="5E95371B"/>
    <w:rsid w:val="5EAC79D5"/>
    <w:rsid w:val="5EE0046E"/>
    <w:rsid w:val="5F204FAE"/>
    <w:rsid w:val="5F5841ED"/>
    <w:rsid w:val="60201BE5"/>
    <w:rsid w:val="6236702C"/>
    <w:rsid w:val="62566E95"/>
    <w:rsid w:val="626E28CF"/>
    <w:rsid w:val="63813F9D"/>
    <w:rsid w:val="643150B3"/>
    <w:rsid w:val="646A7B30"/>
    <w:rsid w:val="651560CC"/>
    <w:rsid w:val="652C540A"/>
    <w:rsid w:val="666450C8"/>
    <w:rsid w:val="666D2BAC"/>
    <w:rsid w:val="667E7962"/>
    <w:rsid w:val="66EC4200"/>
    <w:rsid w:val="676E4A62"/>
    <w:rsid w:val="67BA61E8"/>
    <w:rsid w:val="67E1216A"/>
    <w:rsid w:val="68180423"/>
    <w:rsid w:val="6989378C"/>
    <w:rsid w:val="6A69504A"/>
    <w:rsid w:val="6A7E7DD0"/>
    <w:rsid w:val="6AD76B89"/>
    <w:rsid w:val="6BA20565"/>
    <w:rsid w:val="6C321B31"/>
    <w:rsid w:val="6C8F1157"/>
    <w:rsid w:val="6C9D5BD5"/>
    <w:rsid w:val="6D324616"/>
    <w:rsid w:val="6E4113F5"/>
    <w:rsid w:val="70335BE5"/>
    <w:rsid w:val="708E6456"/>
    <w:rsid w:val="70922674"/>
    <w:rsid w:val="7172111B"/>
    <w:rsid w:val="718E7C65"/>
    <w:rsid w:val="71FC5DCD"/>
    <w:rsid w:val="746A4E5A"/>
    <w:rsid w:val="74F24F18"/>
    <w:rsid w:val="76605E1D"/>
    <w:rsid w:val="76782C0E"/>
    <w:rsid w:val="767D6F6B"/>
    <w:rsid w:val="770F729B"/>
    <w:rsid w:val="781A3C8F"/>
    <w:rsid w:val="78894E2D"/>
    <w:rsid w:val="78BA37A1"/>
    <w:rsid w:val="79565EA8"/>
    <w:rsid w:val="79A06B89"/>
    <w:rsid w:val="79C334D9"/>
    <w:rsid w:val="79D4484B"/>
    <w:rsid w:val="7A1C14FC"/>
    <w:rsid w:val="7AC41F0E"/>
    <w:rsid w:val="7B380C78"/>
    <w:rsid w:val="7BA818FB"/>
    <w:rsid w:val="7BC7213D"/>
    <w:rsid w:val="7C442856"/>
    <w:rsid w:val="7C890643"/>
    <w:rsid w:val="7C974F18"/>
    <w:rsid w:val="7D97044E"/>
    <w:rsid w:val="7E2D3F14"/>
    <w:rsid w:val="7E714ED6"/>
    <w:rsid w:val="7F804C5B"/>
    <w:rsid w:val="7F9A1827"/>
    <w:rsid w:val="7FE5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6">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7">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paragraph" w:styleId="8">
    <w:name w:val="heading 4"/>
    <w:basedOn w:val="1"/>
    <w:next w:val="1"/>
    <w:qFormat/>
    <w:uiPriority w:val="9"/>
    <w:pPr>
      <w:keepNext/>
      <w:keepLines/>
      <w:spacing w:before="280" w:beforeLines="0" w:after="290" w:afterLines="0" w:line="372"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afterLines="0"/>
      <w:ind w:left="420" w:leftChars="200"/>
    </w:pPr>
    <w:rPr>
      <w:rFonts w:ascii="Times New Roman" w:hAnsi="Times New Roman"/>
      <w:szCs w:val="20"/>
    </w:rPr>
  </w:style>
  <w:style w:type="paragraph" w:styleId="4">
    <w:name w:val="envelope return"/>
    <w:basedOn w:val="1"/>
    <w:qFormat/>
    <w:uiPriority w:val="99"/>
    <w:pPr>
      <w:snapToGrid w:val="0"/>
    </w:pPr>
    <w:rPr>
      <w:rFonts w:ascii="Arial" w:hAnsi="Arial" w:cs="Arial"/>
    </w:rPr>
  </w:style>
  <w:style w:type="paragraph" w:styleId="9">
    <w:name w:val="Normal Indent"/>
    <w:basedOn w:val="1"/>
    <w:qFormat/>
    <w:uiPriority w:val="0"/>
    <w:pPr>
      <w:ind w:firstLine="420" w:firstLineChars="200"/>
    </w:pPr>
    <w:rPr>
      <w:szCs w:val="22"/>
    </w:rPr>
  </w:style>
  <w:style w:type="paragraph" w:styleId="10">
    <w:name w:val="annotation text"/>
    <w:basedOn w:val="1"/>
    <w:qFormat/>
    <w:uiPriority w:val="0"/>
    <w:pPr>
      <w:jc w:val="left"/>
    </w:pPr>
  </w:style>
  <w:style w:type="paragraph" w:styleId="11">
    <w:name w:val="Body Text"/>
    <w:basedOn w:val="1"/>
    <w:qFormat/>
    <w:uiPriority w:val="1"/>
    <w:rPr>
      <w:rFonts w:ascii="宋体" w:hAnsi="宋体" w:eastAsia="宋体" w:cs="宋体"/>
      <w:sz w:val="21"/>
      <w:szCs w:val="21"/>
      <w:lang w:val="zh-CN" w:eastAsia="zh-CN" w:bidi="zh-CN"/>
    </w:rPr>
  </w:style>
  <w:style w:type="paragraph" w:styleId="12">
    <w:name w:val="index 4"/>
    <w:basedOn w:val="1"/>
    <w:next w:val="1"/>
    <w:qFormat/>
    <w:uiPriority w:val="99"/>
    <w:pPr>
      <w:ind w:left="600" w:leftChars="600"/>
    </w:pPr>
    <w:rPr>
      <w:szCs w:val="24"/>
    </w:rPr>
  </w:style>
  <w:style w:type="paragraph" w:styleId="13">
    <w:name w:val="Plain Text"/>
    <w:basedOn w:val="1"/>
    <w:qFormat/>
    <w:uiPriority w:val="0"/>
    <w:rPr>
      <w:rFonts w:ascii="宋体" w:hAnsi="Courier New"/>
      <w:szCs w:val="20"/>
    </w:rPr>
  </w:style>
  <w:style w:type="paragraph" w:styleId="14">
    <w:name w:val="footer"/>
    <w:basedOn w:val="1"/>
    <w:qFormat/>
    <w:uiPriority w:val="0"/>
    <w:pPr>
      <w:widowControl/>
      <w:tabs>
        <w:tab w:val="center" w:pos="4153"/>
        <w:tab w:val="right" w:pos="8306"/>
      </w:tabs>
      <w:snapToGrid w:val="0"/>
      <w:jc w:val="left"/>
    </w:pPr>
    <w:rPr>
      <w:rFonts w:ascii="宋体" w:hAnsi="宋体"/>
      <w:kern w:val="0"/>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6">
    <w:name w:val="Normal (Web)"/>
    <w:basedOn w:val="1"/>
    <w:qFormat/>
    <w:uiPriority w:val="99"/>
    <w:pPr>
      <w:widowControl/>
      <w:spacing w:before="100" w:beforeLines="0" w:beforeAutospacing="1" w:after="100" w:afterLines="0" w:afterAutospacing="1"/>
      <w:jc w:val="left"/>
    </w:pPr>
    <w:rPr>
      <w:rFonts w:hint="eastAsia" w:ascii="宋体" w:hAnsi="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bCs/>
    </w:rPr>
  </w:style>
  <w:style w:type="character" w:styleId="21">
    <w:name w:val="page number"/>
    <w:basedOn w:val="19"/>
    <w:qFormat/>
    <w:uiPriority w:val="0"/>
  </w:style>
  <w:style w:type="character" w:styleId="22">
    <w:name w:val="FollowedHyperlink"/>
    <w:basedOn w:val="19"/>
    <w:qFormat/>
    <w:uiPriority w:val="0"/>
    <w:rPr>
      <w:rFonts w:hint="eastAsia" w:ascii="微软雅黑" w:hAnsi="微软雅黑" w:eastAsia="微软雅黑" w:cs="微软雅黑"/>
      <w:color w:val="02396F"/>
      <w:u w:val="single"/>
    </w:rPr>
  </w:style>
  <w:style w:type="character" w:styleId="23">
    <w:name w:val="Emphasis"/>
    <w:basedOn w:val="19"/>
    <w:qFormat/>
    <w:uiPriority w:val="0"/>
  </w:style>
  <w:style w:type="character" w:styleId="24">
    <w:name w:val="HTML Definition"/>
    <w:basedOn w:val="19"/>
    <w:qFormat/>
    <w:uiPriority w:val="0"/>
  </w:style>
  <w:style w:type="character" w:styleId="25">
    <w:name w:val="HTML Typewriter"/>
    <w:basedOn w:val="19"/>
    <w:qFormat/>
    <w:uiPriority w:val="0"/>
    <w:rPr>
      <w:rFonts w:hint="default" w:ascii="monospace" w:hAnsi="monospace" w:eastAsia="monospace" w:cs="monospace"/>
      <w:sz w:val="20"/>
    </w:rPr>
  </w:style>
  <w:style w:type="character" w:styleId="26">
    <w:name w:val="HTML Acronym"/>
    <w:basedOn w:val="19"/>
    <w:qFormat/>
    <w:uiPriority w:val="0"/>
  </w:style>
  <w:style w:type="character" w:styleId="27">
    <w:name w:val="HTML Variable"/>
    <w:basedOn w:val="19"/>
    <w:qFormat/>
    <w:uiPriority w:val="0"/>
  </w:style>
  <w:style w:type="character" w:styleId="28">
    <w:name w:val="Hyperlink"/>
    <w:basedOn w:val="19"/>
    <w:qFormat/>
    <w:uiPriority w:val="0"/>
    <w:rPr>
      <w:rFonts w:hint="eastAsia" w:ascii="微软雅黑" w:hAnsi="微软雅黑" w:eastAsia="微软雅黑" w:cs="微软雅黑"/>
      <w:color w:val="02396F"/>
      <w:u w:val="single"/>
    </w:rPr>
  </w:style>
  <w:style w:type="character" w:styleId="29">
    <w:name w:val="HTML Code"/>
    <w:basedOn w:val="19"/>
    <w:qFormat/>
    <w:uiPriority w:val="0"/>
    <w:rPr>
      <w:rFonts w:hint="default" w:ascii="serif" w:hAnsi="serif" w:eastAsia="serif" w:cs="serif"/>
      <w:sz w:val="21"/>
      <w:szCs w:val="21"/>
    </w:rPr>
  </w:style>
  <w:style w:type="character" w:styleId="30">
    <w:name w:val="annotation reference"/>
    <w:qFormat/>
    <w:uiPriority w:val="0"/>
    <w:rPr>
      <w:sz w:val="21"/>
      <w:szCs w:val="21"/>
    </w:rPr>
  </w:style>
  <w:style w:type="character" w:styleId="31">
    <w:name w:val="HTML Cite"/>
    <w:basedOn w:val="19"/>
    <w:qFormat/>
    <w:uiPriority w:val="0"/>
  </w:style>
  <w:style w:type="character" w:styleId="32">
    <w:name w:val="HTML Keyboard"/>
    <w:basedOn w:val="19"/>
    <w:qFormat/>
    <w:uiPriority w:val="0"/>
    <w:rPr>
      <w:rFonts w:hint="default" w:ascii="serif" w:hAnsi="serif" w:eastAsia="serif" w:cs="serif"/>
      <w:sz w:val="21"/>
      <w:szCs w:val="21"/>
    </w:rPr>
  </w:style>
  <w:style w:type="character" w:styleId="33">
    <w:name w:val="HTML Sample"/>
    <w:basedOn w:val="19"/>
    <w:qFormat/>
    <w:uiPriority w:val="0"/>
    <w:rPr>
      <w:rFonts w:ascii="serif" w:hAnsi="serif" w:eastAsia="serif" w:cs="serif"/>
      <w:sz w:val="21"/>
      <w:szCs w:val="21"/>
    </w:rPr>
  </w:style>
  <w:style w:type="character" w:customStyle="1" w:styleId="34">
    <w:name w:val="通用部分 Char"/>
    <w:link w:val="35"/>
    <w:qFormat/>
    <w:uiPriority w:val="0"/>
    <w:rPr>
      <w:rFonts w:ascii="宋体" w:hAnsi="宋体"/>
      <w:b/>
      <w:sz w:val="44"/>
      <w:szCs w:val="44"/>
    </w:rPr>
  </w:style>
  <w:style w:type="paragraph" w:customStyle="1" w:styleId="35">
    <w:name w:val="通用部分"/>
    <w:basedOn w:val="1"/>
    <w:link w:val="34"/>
    <w:qFormat/>
    <w:uiPriority w:val="0"/>
    <w:pPr>
      <w:jc w:val="center"/>
    </w:pPr>
    <w:rPr>
      <w:rFonts w:ascii="宋体" w:hAnsi="宋体"/>
      <w:b/>
      <w:sz w:val="44"/>
      <w:szCs w:val="44"/>
    </w:rPr>
  </w:style>
  <w:style w:type="paragraph" w:customStyle="1" w:styleId="36">
    <w:name w:val="Normal_0"/>
    <w:qFormat/>
    <w:uiPriority w:val="0"/>
    <w:rPr>
      <w:rFonts w:ascii="Calibri" w:hAnsi="Calibri" w:eastAsia="宋体" w:cs="Times New Roman"/>
      <w:sz w:val="24"/>
      <w:szCs w:val="24"/>
      <w:lang w:val="en-US" w:eastAsia="zh-CN" w:bidi="ar-SA"/>
    </w:rPr>
  </w:style>
  <w:style w:type="paragraph" w:customStyle="1" w:styleId="37">
    <w:name w:val="Normal_1"/>
    <w:qFormat/>
    <w:uiPriority w:val="0"/>
    <w:rPr>
      <w:rFonts w:ascii="Times New Roman" w:hAnsi="Times New Roman" w:eastAsia="Times New Roman" w:cs="Times New Roman"/>
      <w:sz w:val="24"/>
      <w:szCs w:val="24"/>
      <w:lang w:bidi="ar-SA"/>
    </w:rPr>
  </w:style>
  <w:style w:type="paragraph" w:customStyle="1" w:styleId="38">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39">
    <w:name w:val="No Spacing"/>
    <w:qFormat/>
    <w:uiPriority w:val="0"/>
    <w:rPr>
      <w:rFonts w:ascii="Calibri" w:hAnsi="Calibri" w:eastAsia="宋体" w:cs="Times New Roman"/>
      <w:kern w:val="2"/>
      <w:sz w:val="22"/>
      <w:lang w:val="en-US" w:eastAsia="zh-CN" w:bidi="ar-SA"/>
    </w:rPr>
  </w:style>
  <w:style w:type="paragraph" w:customStyle="1" w:styleId="40">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41">
    <w:name w:val="Body text|5"/>
    <w:basedOn w:val="1"/>
    <w:qFormat/>
    <w:uiPriority w:val="0"/>
    <w:pPr>
      <w:ind w:hanging="1840"/>
    </w:pPr>
    <w:rPr>
      <w:sz w:val="10"/>
      <w:szCs w:val="10"/>
      <w:u w:val="single"/>
      <w:lang w:val="zh-CN"/>
    </w:rPr>
  </w:style>
  <w:style w:type="character" w:customStyle="1" w:styleId="42">
    <w:name w:val="qxdate"/>
    <w:basedOn w:val="19"/>
    <w:qFormat/>
    <w:uiPriority w:val="0"/>
    <w:rPr>
      <w:color w:val="333333"/>
      <w:sz w:val="9"/>
      <w:szCs w:val="9"/>
    </w:rPr>
  </w:style>
  <w:style w:type="character" w:customStyle="1" w:styleId="43">
    <w:name w:val="gjfg"/>
    <w:basedOn w:val="19"/>
    <w:qFormat/>
    <w:uiPriority w:val="0"/>
  </w:style>
  <w:style w:type="character" w:customStyle="1" w:styleId="44">
    <w:name w:val="redfilefwwh"/>
    <w:basedOn w:val="19"/>
    <w:qFormat/>
    <w:uiPriority w:val="0"/>
    <w:rPr>
      <w:color w:val="BA2636"/>
      <w:sz w:val="9"/>
      <w:szCs w:val="9"/>
    </w:rPr>
  </w:style>
  <w:style w:type="character" w:customStyle="1" w:styleId="45">
    <w:name w:val="prev2"/>
    <w:basedOn w:val="19"/>
    <w:qFormat/>
    <w:uiPriority w:val="0"/>
    <w:rPr>
      <w:rFonts w:ascii="微软雅黑" w:hAnsi="微软雅黑" w:eastAsia="微软雅黑" w:cs="微软雅黑"/>
      <w:sz w:val="10"/>
      <w:szCs w:val="10"/>
    </w:rPr>
  </w:style>
  <w:style w:type="character" w:customStyle="1" w:styleId="46">
    <w:name w:val="redfilenumber"/>
    <w:basedOn w:val="19"/>
    <w:qFormat/>
    <w:uiPriority w:val="0"/>
    <w:rPr>
      <w:color w:val="BA2636"/>
      <w:sz w:val="9"/>
      <w:szCs w:val="9"/>
    </w:rPr>
  </w:style>
  <w:style w:type="character" w:customStyle="1" w:styleId="47">
    <w:name w:val="displayarti"/>
    <w:basedOn w:val="19"/>
    <w:qFormat/>
    <w:uiPriority w:val="0"/>
    <w:rPr>
      <w:color w:val="FFFFFF"/>
      <w:shd w:val="clear" w:fill="A00000"/>
    </w:rPr>
  </w:style>
  <w:style w:type="character" w:customStyle="1" w:styleId="48">
    <w:name w:val="cfdate"/>
    <w:basedOn w:val="19"/>
    <w:qFormat/>
    <w:uiPriority w:val="0"/>
    <w:rPr>
      <w:color w:val="333333"/>
      <w:sz w:val="9"/>
      <w:szCs w:val="9"/>
    </w:rPr>
  </w:style>
  <w:style w:type="character" w:customStyle="1" w:styleId="49">
    <w:name w:val="next2"/>
    <w:basedOn w:val="19"/>
    <w:qFormat/>
    <w:uiPriority w:val="0"/>
    <w:rPr>
      <w:rFonts w:hint="eastAsia" w:ascii="微软雅黑" w:hAnsi="微软雅黑" w:eastAsia="微软雅黑" w:cs="微软雅黑"/>
      <w:sz w:val="10"/>
      <w:szCs w:val="10"/>
    </w:rPr>
  </w:style>
  <w:style w:type="character" w:customStyle="1" w:styleId="50">
    <w:name w:val="next3"/>
    <w:basedOn w:val="19"/>
    <w:qFormat/>
    <w:uiPriority w:val="0"/>
    <w:rPr>
      <w:color w:val="888888"/>
    </w:rPr>
  </w:style>
  <w:style w:type="character" w:customStyle="1" w:styleId="51">
    <w:name w:val="prev"/>
    <w:basedOn w:val="19"/>
    <w:qFormat/>
    <w:uiPriority w:val="0"/>
    <w:rPr>
      <w:rFonts w:ascii="微软雅黑" w:hAnsi="微软雅黑" w:eastAsia="微软雅黑" w:cs="微软雅黑"/>
      <w:sz w:val="10"/>
      <w:szCs w:val="10"/>
    </w:rPr>
  </w:style>
  <w:style w:type="character" w:customStyle="1" w:styleId="52">
    <w:name w:val="prev1"/>
    <w:basedOn w:val="19"/>
    <w:qFormat/>
    <w:uiPriority w:val="0"/>
    <w:rPr>
      <w:color w:val="888888"/>
    </w:rPr>
  </w:style>
  <w:style w:type="character" w:customStyle="1" w:styleId="53">
    <w:name w:val="next"/>
    <w:basedOn w:val="19"/>
    <w:qFormat/>
    <w:uiPriority w:val="0"/>
    <w:rPr>
      <w:color w:val="888888"/>
    </w:rPr>
  </w:style>
  <w:style w:type="character" w:customStyle="1" w:styleId="54">
    <w:name w:val="next1"/>
    <w:basedOn w:val="19"/>
    <w:qFormat/>
    <w:uiPriority w:val="0"/>
    <w:rPr>
      <w:rFonts w:hint="eastAsia" w:ascii="微软雅黑" w:hAnsi="微软雅黑" w:eastAsia="微软雅黑" w:cs="微软雅黑"/>
      <w:sz w:val="10"/>
      <w:szCs w:val="10"/>
    </w:rPr>
  </w:style>
  <w:style w:type="character" w:customStyle="1" w:styleId="55">
    <w:name w:val="prev3"/>
    <w:basedOn w:val="19"/>
    <w:qFormat/>
    <w:uiPriority w:val="0"/>
    <w:rPr>
      <w:color w:val="888888"/>
    </w:rPr>
  </w:style>
  <w:style w:type="character" w:customStyle="1" w:styleId="56">
    <w:name w:val="fontborder"/>
    <w:basedOn w:val="19"/>
    <w:qFormat/>
    <w:uiPriority w:val="0"/>
    <w:rPr>
      <w:bdr w:val="single" w:color="000000" w:sz="2" w:space="0"/>
    </w:rPr>
  </w:style>
  <w:style w:type="character" w:customStyle="1" w:styleId="57">
    <w:name w:val="fontstrikethrough"/>
    <w:basedOn w:val="19"/>
    <w:qFormat/>
    <w:uiPriority w:val="0"/>
    <w:rPr>
      <w:strike/>
    </w:rPr>
  </w:style>
  <w:style w:type="paragraph" w:customStyle="1" w:styleId="58">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Table Paragraph"/>
    <w:basedOn w:val="1"/>
    <w:qFormat/>
    <w:uiPriority w:val="1"/>
    <w:rPr>
      <w:rFonts w:ascii="宋体" w:hAnsi="宋体" w:eastAsia="宋体" w:cs="宋体"/>
      <w:lang w:val="zh-CN" w:eastAsia="zh-CN" w:bidi="zh-CN"/>
    </w:rPr>
  </w:style>
  <w:style w:type="paragraph" w:styleId="60">
    <w:name w:val="List Paragraph"/>
    <w:basedOn w:val="1"/>
    <w:qFormat/>
    <w:uiPriority w:val="1"/>
    <w:pPr>
      <w:ind w:left="400" w:firstLine="419"/>
    </w:pPr>
    <w:rPr>
      <w:rFonts w:ascii="宋体" w:hAnsi="宋体" w:eastAsia="宋体" w:cs="宋体"/>
      <w:lang w:val="zh-CN" w:eastAsia="zh-CN" w:bidi="zh-CN"/>
    </w:rPr>
  </w:style>
  <w:style w:type="paragraph" w:customStyle="1" w:styleId="61">
    <w:name w:val="179"/>
    <w:basedOn w:val="1"/>
    <w:qFormat/>
    <w:uiPriority w:val="0"/>
    <w:pPr>
      <w:spacing w:before="0" w:after="0" w:line="240" w:lineRule="auto"/>
      <w:ind w:left="400" w:right="0" w:firstLine="419"/>
      <w:jc w:val="left"/>
      <w:textAlignment w:val="baseline"/>
    </w:pPr>
    <w:rPr>
      <w:rFonts w:ascii="宋体" w:hAnsi="宋体" w:eastAsia="宋体"/>
      <w:sz w:val="22"/>
      <w:szCs w:val="22"/>
      <w:lang w:val="zh-CN" w:eastAsia="zh-CN" w:bidi="zh-CN"/>
    </w:rPr>
  </w:style>
  <w:style w:type="character" w:customStyle="1" w:styleId="62">
    <w:name w:val="NormalCharacter"/>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9864</Words>
  <Characters>10385</Characters>
  <Lines>0</Lines>
  <Paragraphs>0</Paragraphs>
  <TotalTime>3</TotalTime>
  <ScaleCrop>false</ScaleCrop>
  <LinksUpToDate>false</LinksUpToDate>
  <CharactersWithSpaces>11224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2021-05-02T08:01:00Z</dcterms:created>
  <dc:creator>P</dc:creator>
  <cp:lastModifiedBy>苏柏亚宋姗姗</cp:lastModifiedBy>
  <cp:lastPrinted>2021-12-27T06:56:00Z</cp:lastPrinted>
  <dcterms:modified xsi:type="dcterms:W3CDTF">2022-07-16T08:39:58Z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C3ACD1F96BD743CBA140F55B0E21A4DE</vt:lpwstr>
  </property>
</Properties>
</file>